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357662347"/>
        <w:docPartObj>
          <w:docPartGallery w:val="Cover Pages"/>
          <w:docPartUnique/>
        </w:docPartObj>
      </w:sdtPr>
      <w:sdtEndPr/>
      <w:sdtContent>
        <w:p w14:paraId="5482A694" w14:textId="77777777" w:rsidR="009B3522" w:rsidRDefault="009B3522"/>
        <w:p w14:paraId="333D4F29" w14:textId="77777777" w:rsidR="009B3522" w:rsidRDefault="009B3522">
          <w:r>
            <w:rPr>
              <w:noProof/>
            </w:rPr>
            <mc:AlternateContent>
              <mc:Choice Requires="wps">
                <w:drawing>
                  <wp:anchor distT="0" distB="0" distL="182880" distR="182880" simplePos="0" relativeHeight="251660288" behindDoc="0" locked="0" layoutInCell="1" allowOverlap="1" wp14:anchorId="210BCFC8" wp14:editId="488416FC">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5605780" cy="6720840"/>
                    <wp:effectExtent l="0" t="0" r="13970" b="4445"/>
                    <wp:wrapSquare wrapText="bothSides"/>
                    <wp:docPr id="131" name="Text Box 131"/>
                    <wp:cNvGraphicFramePr/>
                    <a:graphic xmlns:a="http://schemas.openxmlformats.org/drawingml/2006/main">
                      <a:graphicData uri="http://schemas.microsoft.com/office/word/2010/wordprocessingShape">
                        <wps:wsp>
                          <wps:cNvSpPr txBox="1"/>
                          <wps:spPr>
                            <a:xfrm>
                              <a:off x="0" y="0"/>
                              <a:ext cx="5605976"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5BB542" w14:textId="0D2D33D3" w:rsidR="009B3522" w:rsidRDefault="00E51B0F">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9B3522">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1A457EBE" w14:textId="1079FD8F" w:rsidR="009B3522" w:rsidRDefault="009B3522">
                                    <w:pPr>
                                      <w:pStyle w:val="NoSpacing"/>
                                      <w:spacing w:before="40" w:after="40"/>
                                      <w:rPr>
                                        <w:caps/>
                                        <w:color w:val="1F4429" w:themeColor="accent5" w:themeShade="80"/>
                                        <w:sz w:val="28"/>
                                        <w:szCs w:val="28"/>
                                      </w:rPr>
                                    </w:pPr>
                                    <w:r>
                                      <w:rPr>
                                        <w:caps/>
                                        <w:color w:val="1F4429" w:themeColor="accent5" w:themeShade="80"/>
                                        <w:sz w:val="28"/>
                                        <w:szCs w:val="28"/>
                                      </w:rPr>
                                      <w:t>ASS #2, STEPS 7-10</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771C09B9" w14:textId="77777777" w:rsidR="009B3522" w:rsidRDefault="009B3522">
                                    <w:pPr>
                                      <w:pStyle w:val="NoSpacing"/>
                                      <w:spacing w:before="80" w:after="40"/>
                                      <w:rPr>
                                        <w:caps/>
                                        <w:color w:val="3E8853" w:themeColor="accent5"/>
                                        <w:sz w:val="24"/>
                                        <w:szCs w:val="24"/>
                                      </w:rPr>
                                    </w:pPr>
                                    <w:r>
                                      <w:rPr>
                                        <w:caps/>
                                        <w:color w:val="3E8853" w:themeColor="accent5"/>
                                        <w:sz w:val="24"/>
                                        <w:szCs w:val="24"/>
                                      </w:rPr>
                                      <w:t>daniella romeo</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type w14:anchorId="210BCFC8" id="_x0000_t202" coordsize="21600,21600" o:spt="202" path="m,l,21600r21600,l21600,xe">
                    <v:stroke joinstyle="miter"/>
                    <v:path gradientshapeok="t" o:connecttype="rect"/>
                  </v:shapetype>
                  <v:shape id="Text Box 131" o:spid="_x0000_s1026" type="#_x0000_t202" style="position:absolute;margin-left:0;margin-top:0;width:441.4pt;height:529.2pt;z-index:251660288;visibility:visible;mso-wrap-style:square;mso-width-percent:0;mso-height-percent:350;mso-left-percent:77;mso-top-percent:540;mso-wrap-distance-left:14.4pt;mso-wrap-distance-top:0;mso-wrap-distance-right:14.4pt;mso-wrap-distance-bottom:0;mso-position-horizontal-relative:margin;mso-position-vertical-relative:page;mso-width-percent: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" filled="f" stroked="f" strokeweight=".5pt">
                    <v:textbox style="mso-fit-shape-to-text:t" inset="0,0,0,0">
                      <w:txbxContent>
                        <w:p w14:paraId="355BB542" w14:textId="0D2D33D3" w:rsidR="009B3522" w:rsidRDefault="00E51B0F">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9B3522">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1A457EBE" w14:textId="1079FD8F" w:rsidR="009B3522" w:rsidRDefault="009B3522">
                              <w:pPr>
                                <w:pStyle w:val="NoSpacing"/>
                                <w:spacing w:before="40" w:after="40"/>
                                <w:rPr>
                                  <w:caps/>
                                  <w:color w:val="1F4429" w:themeColor="accent5" w:themeShade="80"/>
                                  <w:sz w:val="28"/>
                                  <w:szCs w:val="28"/>
                                </w:rPr>
                              </w:pPr>
                              <w:r>
                                <w:rPr>
                                  <w:caps/>
                                  <w:color w:val="1F4429" w:themeColor="accent5" w:themeShade="80"/>
                                  <w:sz w:val="28"/>
                                  <w:szCs w:val="28"/>
                                </w:rPr>
                                <w:t>ASS #2, STEPS 7-10</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771C09B9" w14:textId="77777777" w:rsidR="009B3522" w:rsidRDefault="009B3522">
                              <w:pPr>
                                <w:pStyle w:val="NoSpacing"/>
                                <w:spacing w:before="80" w:after="40"/>
                                <w:rPr>
                                  <w:caps/>
                                  <w:color w:val="3E8853" w:themeColor="accent5"/>
                                  <w:sz w:val="24"/>
                                  <w:szCs w:val="24"/>
                                </w:rPr>
                              </w:pPr>
                              <w:r>
                                <w:rPr>
                                  <w:caps/>
                                  <w:color w:val="3E8853" w:themeColor="accent5"/>
                                  <w:sz w:val="24"/>
                                  <w:szCs w:val="24"/>
                                </w:rPr>
                                <w:t>daniella romeo</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6D9FA594" wp14:editId="20A00139">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EndPr/>
                                <w:sdtContent>
                                  <w:p w14:paraId="7392AD7A" w14:textId="246A0409" w:rsidR="009B3522" w:rsidRDefault="009B3522">
                                    <w:pPr>
                                      <w:pStyle w:val="NoSpacing"/>
                                      <w:jc w:val="right"/>
                                      <w:rPr>
                                        <w:color w:val="FFFFFF" w:themeColor="background1"/>
                                        <w:sz w:val="24"/>
                                        <w:szCs w:val="24"/>
                                      </w:rPr>
                                    </w:pPr>
                                    <w:r>
                                      <w:rPr>
                                        <w:color w:val="FFFFFF" w:themeColor="background1"/>
                                        <w:sz w:val="24"/>
                                        <w:szCs w:val="24"/>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6D9FA594"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" fillcolor="#1cade4 [3204]" stroked="f" strokeweight="1.25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EndPr/>
                          <w:sdtContent>
                            <w:p w14:paraId="7392AD7A" w14:textId="246A0409" w:rsidR="009B3522" w:rsidRDefault="009B3522">
                              <w:pPr>
                                <w:pStyle w:val="NoSpacing"/>
                                <w:jc w:val="right"/>
                                <w:rPr>
                                  <w:color w:val="FFFFFF" w:themeColor="background1"/>
                                  <w:sz w:val="24"/>
                                  <w:szCs w:val="24"/>
                                </w:rPr>
                              </w:pPr>
                              <w:r>
                                <w:rPr>
                                  <w:color w:val="FFFFFF" w:themeColor="background1"/>
                                  <w:sz w:val="24"/>
                                  <w:szCs w:val="24"/>
                                </w:rPr>
                                <w:t>2020</w:t>
                              </w:r>
                            </w:p>
                          </w:sdtContent>
                        </w:sdt>
                      </w:txbxContent>
                    </v:textbox>
                    <w10:wrap anchorx="margin" anchory="page"/>
                  </v:rect>
                </w:pict>
              </mc:Fallback>
            </mc:AlternateContent>
          </w:r>
          <w:r>
            <w:br w:type="page"/>
          </w:r>
        </w:p>
      </w:sdtContent>
    </w:sdt>
    <w:p w14:paraId="5212B81A" w14:textId="50E7C878" w:rsidR="00056F7E" w:rsidRDefault="009B3522" w:rsidP="009B3522">
      <w:pPr>
        <w:pStyle w:val="Title"/>
        <w:jc w:val="right"/>
      </w:pPr>
      <w:r>
        <w:lastRenderedPageBreak/>
        <w:t>ASSESSMENT #2</w:t>
      </w:r>
    </w:p>
    <w:p w14:paraId="6702812D" w14:textId="5AD1F4CF" w:rsidR="009B3522" w:rsidRDefault="009B3522" w:rsidP="009B3522">
      <w:pPr>
        <w:pStyle w:val="Title"/>
        <w:jc w:val="right"/>
        <w:rPr>
          <w:sz w:val="48"/>
          <w:szCs w:val="48"/>
        </w:rPr>
      </w:pPr>
      <w:r>
        <w:rPr>
          <w:sz w:val="48"/>
          <w:szCs w:val="48"/>
        </w:rPr>
        <w:t>STEP: 7</w:t>
      </w:r>
    </w:p>
    <w:p w14:paraId="43A988F5" w14:textId="2A8C736A" w:rsidR="009B3522" w:rsidRDefault="009B3522" w:rsidP="009B3522">
      <w:r>
        <w:t>As soon as I read this step, I was aware this would be a challenge for me. The Rank Group is a part of the gambling market. Trying to guess the selling price and variable cost for three different services as well as assess the contribution margins was going to be tricky</w:t>
      </w:r>
      <w:r w:rsidR="00283A30">
        <w:t>.</w:t>
      </w:r>
    </w:p>
    <w:p w14:paraId="19EA21E9" w14:textId="3CE73408" w:rsidR="009B3522" w:rsidRPr="003E50F1" w:rsidRDefault="009B3522" w:rsidP="009B3522">
      <w:pPr>
        <w:pStyle w:val="Subtitle"/>
        <w:rPr>
          <w:b/>
          <w:bCs/>
        </w:rPr>
      </w:pPr>
      <w:r w:rsidRPr="003E50F1">
        <w:rPr>
          <w:b/>
          <w:bCs/>
        </w:rPr>
        <w:t>THREE PRODUCTS OR SERVICES</w:t>
      </w:r>
    </w:p>
    <w:p w14:paraId="0CC3F70B" w14:textId="22962A93" w:rsidR="003E50F1" w:rsidRPr="003E50F1" w:rsidRDefault="003E50F1" w:rsidP="003E50F1">
      <w:pPr>
        <w:rPr>
          <w:b/>
          <w:bCs/>
        </w:rPr>
      </w:pPr>
      <w:r>
        <w:rPr>
          <w:b/>
          <w:bCs/>
        </w:rPr>
        <w:t>LIVE BLACKJACK</w:t>
      </w:r>
    </w:p>
    <w:p w14:paraId="0BFE37B8" w14:textId="3204D44D" w:rsidR="00E53FC0" w:rsidRDefault="00E53FC0" w:rsidP="00E53FC0">
      <w:pPr>
        <w:jc w:val="both"/>
      </w:pPr>
      <w:r>
        <w:t xml:space="preserve">The first service can be found on this website </w:t>
      </w:r>
      <w:hyperlink r:id="rId5" w:history="1">
        <w:r w:rsidRPr="00025E21">
          <w:rPr>
            <w:rStyle w:val="Hyperlink"/>
          </w:rPr>
          <w:t>https://www.grosvenorcasinos.com/</w:t>
        </w:r>
      </w:hyperlink>
      <w:r>
        <w:t xml:space="preserve">. This link is from the brand Grosvenor Casinos under The Rank Group. The service is called </w:t>
      </w:r>
      <w:r>
        <w:rPr>
          <w:i/>
          <w:iCs/>
        </w:rPr>
        <w:t xml:space="preserve">Live </w:t>
      </w:r>
      <w:r w:rsidR="003E50F1">
        <w:rPr>
          <w:i/>
          <w:iCs/>
        </w:rPr>
        <w:t>Blackjack</w:t>
      </w:r>
      <w:r w:rsidR="003E50F1">
        <w:t xml:space="preserve"> and</w:t>
      </w:r>
      <w:r>
        <w:t xml:space="preserve"> allows you to</w:t>
      </w:r>
      <w:r w:rsidR="003E50F1">
        <w:t xml:space="preserve"> bet from £0.5 - £10,000! Therefore, it can be seen that there is not just one selling price, especially because the customer is likely to make a return on the money they spent with a Return To Player (</w:t>
      </w:r>
      <w:proofErr w:type="spellStart"/>
      <w:r w:rsidR="003E50F1">
        <w:t>RTP</w:t>
      </w:r>
      <w:proofErr w:type="spellEnd"/>
      <w:r w:rsidR="003E50F1">
        <w:t>) percentage sitting at 99.3%.  However, as a guess, we can say the average selling price would be £75</w:t>
      </w:r>
      <w:r w:rsidR="007919CD">
        <w:t>, as not very many people would be willing to bet much higher</w:t>
      </w:r>
      <w:r w:rsidR="003E50F1">
        <w:t xml:space="preserve">. We can also suggest a variable cost perhaps around 35% for this service due to the fact that there is such a range in potential selling price. Therefore, </w:t>
      </w:r>
      <w:r w:rsidR="00A07BB7">
        <w:t xml:space="preserve">with a variable cost of £26.25, </w:t>
      </w:r>
      <w:r w:rsidR="003E50F1">
        <w:t>the contribution margin would be as follows:</w:t>
      </w:r>
    </w:p>
    <w:p w14:paraId="58F23B3B" w14:textId="62070F61" w:rsidR="003E50F1" w:rsidRPr="00A07BB7" w:rsidRDefault="00A07BB7" w:rsidP="00E53FC0">
      <w:pPr>
        <w:jc w:val="both"/>
        <w:rPr>
          <w:rFonts w:eastAsiaTheme="minorEastAsia"/>
        </w:rPr>
      </w:pPr>
      <m:oMathPara>
        <m:oMath>
          <m:r>
            <w:rPr>
              <w:rFonts w:ascii="Cambria Math" w:hAnsi="Cambria Math"/>
            </w:rPr>
            <m:t>Contribution Margin=selling price-variable cost</m:t>
          </m:r>
        </m:oMath>
      </m:oMathPara>
    </w:p>
    <w:p w14:paraId="369B2B41" w14:textId="30243E2D" w:rsidR="00A07BB7" w:rsidRPr="00A07BB7" w:rsidRDefault="00A07BB7" w:rsidP="00E53FC0">
      <w:pPr>
        <w:jc w:val="both"/>
        <w:rPr>
          <w:rFonts w:eastAsiaTheme="minorEastAsia"/>
        </w:rPr>
      </w:pPr>
      <m:oMathPara>
        <m:oMath>
          <m:r>
            <w:rPr>
              <w:rFonts w:ascii="Cambria Math" w:hAnsi="Cambria Math"/>
            </w:rPr>
            <m:t>CM=75-26.25</m:t>
          </m:r>
        </m:oMath>
      </m:oMathPara>
    </w:p>
    <w:p w14:paraId="79720CBA" w14:textId="327D5C38" w:rsidR="00A07BB7" w:rsidRPr="00A07BB7" w:rsidRDefault="00A07BB7" w:rsidP="00E53FC0">
      <w:pPr>
        <w:jc w:val="both"/>
        <w:rPr>
          <w:rFonts w:eastAsiaTheme="minorEastAsia"/>
        </w:rPr>
      </w:pPr>
      <m:oMathPara>
        <m:oMath>
          <m:r>
            <w:rPr>
              <w:rFonts w:ascii="Cambria Math" w:eastAsiaTheme="minorEastAsia" w:hAnsi="Cambria Math"/>
            </w:rPr>
            <m:t>CM=48.75</m:t>
          </m:r>
        </m:oMath>
      </m:oMathPara>
    </w:p>
    <w:p w14:paraId="0E47B0DB" w14:textId="70816AD9" w:rsidR="00A07BB7" w:rsidRDefault="00345295" w:rsidP="00E53FC0">
      <w:pPr>
        <w:jc w:val="both"/>
        <w:rPr>
          <w:rFonts w:eastAsiaTheme="minorEastAsia"/>
          <w:b/>
          <w:bCs/>
        </w:rPr>
      </w:pPr>
      <w:r>
        <w:rPr>
          <w:rFonts w:eastAsiaTheme="minorEastAsia"/>
          <w:b/>
          <w:bCs/>
        </w:rPr>
        <w:t>MECCA BINGO</w:t>
      </w:r>
    </w:p>
    <w:p w14:paraId="2FECE82A" w14:textId="47249DCC" w:rsidR="00345295" w:rsidRDefault="00345295" w:rsidP="00E53FC0">
      <w:pPr>
        <w:jc w:val="both"/>
        <w:rPr>
          <w:rFonts w:eastAsiaTheme="minorEastAsia"/>
        </w:rPr>
      </w:pPr>
      <w:r>
        <w:rPr>
          <w:rFonts w:eastAsiaTheme="minorEastAsia"/>
        </w:rPr>
        <w:t xml:space="preserve">The next service from the Rank Group is called </w:t>
      </w:r>
      <w:r>
        <w:rPr>
          <w:rFonts w:eastAsiaTheme="minorEastAsia"/>
          <w:i/>
          <w:iCs/>
        </w:rPr>
        <w:t>Mecca Bingo</w:t>
      </w:r>
      <w:r>
        <w:rPr>
          <w:rFonts w:eastAsiaTheme="minorEastAsia"/>
        </w:rPr>
        <w:t xml:space="preserve"> under the brand Mecca. This service can be found through accessing this website link; </w:t>
      </w:r>
      <w:hyperlink r:id="rId6" w:history="1">
        <w:r w:rsidRPr="00025E21">
          <w:rPr>
            <w:rStyle w:val="Hyperlink"/>
            <w:rFonts w:eastAsiaTheme="minorEastAsia"/>
          </w:rPr>
          <w:t>https://www.meccabingo.com/bingo</w:t>
        </w:r>
      </w:hyperlink>
      <w:r>
        <w:rPr>
          <w:rFonts w:eastAsiaTheme="minorEastAsia"/>
        </w:rPr>
        <w:t xml:space="preserve"> . </w:t>
      </w:r>
      <w:r w:rsidR="007919CD">
        <w:rPr>
          <w:rFonts w:eastAsiaTheme="minorEastAsia"/>
        </w:rPr>
        <w:t xml:space="preserve">I chose this service as a whole instead of singling out one game like I did above because there is such a range and I figured this would be easier than using one bingo game as they are all on a schedule. </w:t>
      </w:r>
      <w:r>
        <w:rPr>
          <w:rFonts w:eastAsiaTheme="minorEastAsia"/>
        </w:rPr>
        <w:t>This service offers the choice of various bingo games, all with different prices, ranging from 0p to 50p (that I can see on the live schedule). Therefore, we can say the average selling price is 25p. Like mentioned with Live Blackjack, we will use 35% of the selling price as the variable cost.</w:t>
      </w:r>
    </w:p>
    <w:p w14:paraId="4C4B07B4" w14:textId="5CC820A7" w:rsidR="00345295" w:rsidRPr="00345295" w:rsidRDefault="00345295" w:rsidP="00E53FC0">
      <w:pPr>
        <w:jc w:val="both"/>
        <w:rPr>
          <w:rFonts w:eastAsiaTheme="minorEastAsia"/>
        </w:rPr>
      </w:pPr>
      <m:oMathPara>
        <m:oMath>
          <m:r>
            <w:rPr>
              <w:rFonts w:ascii="Cambria Math" w:eastAsiaTheme="minorEastAsia" w:hAnsi="Cambria Math"/>
            </w:rPr>
            <m:t>Contribution Margin=selling price-variable cost</m:t>
          </m:r>
        </m:oMath>
      </m:oMathPara>
    </w:p>
    <w:p w14:paraId="04999F28" w14:textId="3EDC26FB" w:rsidR="00345295" w:rsidRPr="00345295" w:rsidRDefault="00345295" w:rsidP="00E53FC0">
      <w:pPr>
        <w:jc w:val="both"/>
        <w:rPr>
          <w:rFonts w:eastAsiaTheme="minorEastAsia"/>
        </w:rPr>
      </w:pPr>
      <m:oMathPara>
        <m:oMath>
          <m:r>
            <w:rPr>
              <w:rFonts w:ascii="Cambria Math" w:eastAsiaTheme="minorEastAsia" w:hAnsi="Cambria Math"/>
            </w:rPr>
            <m:t>CM=25-</m:t>
          </m:r>
          <m:d>
            <m:dPr>
              <m:ctrlPr>
                <w:rPr>
                  <w:rFonts w:ascii="Cambria Math" w:eastAsiaTheme="minorEastAsia" w:hAnsi="Cambria Math"/>
                  <w:i/>
                </w:rPr>
              </m:ctrlPr>
            </m:dPr>
            <m:e>
              <m:r>
                <w:rPr>
                  <w:rFonts w:ascii="Cambria Math" w:eastAsiaTheme="minorEastAsia" w:hAnsi="Cambria Math"/>
                </w:rPr>
                <m:t>25×0.35</m:t>
              </m:r>
            </m:e>
          </m:d>
        </m:oMath>
      </m:oMathPara>
    </w:p>
    <w:p w14:paraId="1ED03511" w14:textId="7E51669C" w:rsidR="00345295" w:rsidRPr="007919CD" w:rsidRDefault="00345295" w:rsidP="00E53FC0">
      <w:pPr>
        <w:jc w:val="both"/>
        <w:rPr>
          <w:rFonts w:eastAsiaTheme="minorEastAsia"/>
        </w:rPr>
      </w:pPr>
      <m:oMathPara>
        <m:oMath>
          <m:r>
            <w:rPr>
              <w:rFonts w:ascii="Cambria Math" w:eastAsiaTheme="minorEastAsia" w:hAnsi="Cambria Math"/>
            </w:rPr>
            <m:t>CM=16.25</m:t>
          </m:r>
        </m:oMath>
      </m:oMathPara>
    </w:p>
    <w:p w14:paraId="13DA6A4E" w14:textId="38DBDF62" w:rsidR="007919CD" w:rsidRDefault="007919CD" w:rsidP="00E53FC0">
      <w:pPr>
        <w:jc w:val="both"/>
        <w:rPr>
          <w:rFonts w:eastAsiaTheme="minorEastAsia"/>
          <w:b/>
          <w:bCs/>
        </w:rPr>
      </w:pPr>
      <w:r>
        <w:rPr>
          <w:rFonts w:eastAsiaTheme="minorEastAsia"/>
          <w:b/>
          <w:bCs/>
        </w:rPr>
        <w:t>CLEOPATRA</w:t>
      </w:r>
    </w:p>
    <w:p w14:paraId="661583BF" w14:textId="78EE5297" w:rsidR="007919CD" w:rsidRDefault="007919CD" w:rsidP="00E53FC0">
      <w:pPr>
        <w:jc w:val="both"/>
        <w:rPr>
          <w:rFonts w:eastAsiaTheme="minorEastAsia"/>
        </w:rPr>
      </w:pPr>
      <w:r>
        <w:rPr>
          <w:rFonts w:eastAsiaTheme="minorEastAsia"/>
        </w:rPr>
        <w:t xml:space="preserve">My third final service is a game called </w:t>
      </w:r>
      <w:r>
        <w:rPr>
          <w:rFonts w:eastAsiaTheme="minorEastAsia"/>
          <w:i/>
          <w:iCs/>
        </w:rPr>
        <w:t xml:space="preserve">Cleopatra </w:t>
      </w:r>
      <w:r>
        <w:rPr>
          <w:rFonts w:eastAsiaTheme="minorEastAsia"/>
        </w:rPr>
        <w:t>under the brand called Bella Casinos for the Rank Group. This game allows a stake between 1p - £100</w:t>
      </w:r>
      <w:r w:rsidR="00016599">
        <w:rPr>
          <w:rFonts w:eastAsiaTheme="minorEastAsia"/>
        </w:rPr>
        <w:t>. A suggested selling price for this game will be £50 with a variable cost of 35% again (£17.5)</w:t>
      </w:r>
    </w:p>
    <w:p w14:paraId="69E37492" w14:textId="38CCDAD3" w:rsidR="00016599" w:rsidRPr="00016599" w:rsidRDefault="00016599" w:rsidP="00E53FC0">
      <w:pPr>
        <w:jc w:val="both"/>
        <w:rPr>
          <w:rFonts w:eastAsiaTheme="minorEastAsia"/>
        </w:rPr>
      </w:pPr>
      <m:oMathPara>
        <m:oMath>
          <m:r>
            <w:rPr>
              <w:rFonts w:ascii="Cambria Math" w:eastAsiaTheme="minorEastAsia" w:hAnsi="Cambria Math"/>
            </w:rPr>
            <m:t>Contribution Margin=selling price-variable cost</m:t>
          </m:r>
        </m:oMath>
      </m:oMathPara>
    </w:p>
    <w:p w14:paraId="25F3AAF1" w14:textId="3D3095F0" w:rsidR="00016599" w:rsidRPr="00016599" w:rsidRDefault="00016599" w:rsidP="00E53FC0">
      <w:pPr>
        <w:jc w:val="both"/>
        <w:rPr>
          <w:rFonts w:eastAsiaTheme="minorEastAsia"/>
        </w:rPr>
      </w:pPr>
      <m:oMathPara>
        <m:oMath>
          <m:r>
            <w:rPr>
              <w:rFonts w:ascii="Cambria Math" w:eastAsiaTheme="minorEastAsia" w:hAnsi="Cambria Math"/>
            </w:rPr>
            <m:t>CM=50-17.5</m:t>
          </m:r>
        </m:oMath>
      </m:oMathPara>
    </w:p>
    <w:p w14:paraId="0BF4E332" w14:textId="2159D852" w:rsidR="00016599" w:rsidRPr="00016599" w:rsidRDefault="00016599" w:rsidP="00E53FC0">
      <w:pPr>
        <w:jc w:val="both"/>
        <w:rPr>
          <w:rFonts w:eastAsiaTheme="minorEastAsia"/>
        </w:rPr>
      </w:pPr>
      <m:oMathPara>
        <m:oMath>
          <m:r>
            <w:rPr>
              <w:rFonts w:ascii="Cambria Math" w:eastAsiaTheme="minorEastAsia" w:hAnsi="Cambria Math"/>
            </w:rPr>
            <m:t>CM=32.5</m:t>
          </m:r>
        </m:oMath>
      </m:oMathPara>
    </w:p>
    <w:p w14:paraId="2B0DFE9F" w14:textId="7D666C1F" w:rsidR="0070680F" w:rsidRDefault="0070680F" w:rsidP="00E53FC0">
      <w:pPr>
        <w:jc w:val="both"/>
        <w:rPr>
          <w:rFonts w:eastAsiaTheme="minorEastAsia"/>
        </w:rPr>
      </w:pPr>
      <w:r>
        <w:rPr>
          <w:rFonts w:eastAsiaTheme="minorEastAsia"/>
        </w:rPr>
        <w:t xml:space="preserve">It can be seen that </w:t>
      </w:r>
      <w:r w:rsidR="00FC20DF">
        <w:rPr>
          <w:rFonts w:eastAsiaTheme="minorEastAsia"/>
        </w:rPr>
        <w:t xml:space="preserve">while the contribution margins are all different for each product/service, they all still have the same variable cost. This is partly due to the fact the variable cost had to be assumed and so it was assumed it would be the same for all. With different selling prices, it can be seen that the contribution margin for Live Blackjack is approximately £16 more than Cleopatra, which again is approximately </w:t>
      </w:r>
      <w:r w:rsidR="00FC20DF">
        <w:rPr>
          <w:rFonts w:eastAsiaTheme="minorEastAsia"/>
        </w:rPr>
        <w:lastRenderedPageBreak/>
        <w:t xml:space="preserve">£16 more than Mecca Bingo. A more accurate difference in price is £16.25. In addition, the price difference between Live Blackjack and Mecca Bingo is £32.5. Therefore, it can be seen that the contribution margin for each product/service are all linked to one another. </w:t>
      </w:r>
    </w:p>
    <w:p w14:paraId="3FF9309D" w14:textId="6039F8E3" w:rsidR="009B3522" w:rsidRDefault="002333CD" w:rsidP="00E53FC0">
      <w:pPr>
        <w:jc w:val="both"/>
        <w:rPr>
          <w:rFonts w:eastAsiaTheme="minorEastAsia"/>
        </w:rPr>
      </w:pPr>
      <w:r>
        <w:rPr>
          <w:rFonts w:eastAsiaTheme="minorEastAsia"/>
        </w:rPr>
        <w:t>In regard to</w:t>
      </w:r>
      <w:r w:rsidR="00016599">
        <w:rPr>
          <w:rFonts w:eastAsiaTheme="minorEastAsia"/>
        </w:rPr>
        <w:t xml:space="preserve"> constraints, the main constraints that face The Rank Group as a whole </w:t>
      </w:r>
      <w:r>
        <w:rPr>
          <w:rFonts w:eastAsiaTheme="minorEastAsia"/>
        </w:rPr>
        <w:t xml:space="preserve">is the demand for gambling and bingo in the world. Not everybody is going to want to gamble or participate in these services that The Rank Group provide. Therefore, if not enough people were interested in these services, this company would not be as successful as it is today. In addition to this constraint, another would include the </w:t>
      </w:r>
      <w:r w:rsidR="0070680F">
        <w:rPr>
          <w:rFonts w:eastAsiaTheme="minorEastAsia"/>
        </w:rPr>
        <w:t>number</w:t>
      </w:r>
      <w:r>
        <w:rPr>
          <w:rFonts w:eastAsiaTheme="minorEastAsia"/>
        </w:rPr>
        <w:t xml:space="preserve"> of casinos The Rank Group have around the world. The Rank Group have a large online gambling operation as well as the casinos placed in multiple countries. A constraint facing The Rank Group may include the limited resources available to continue to add casinos into different parts of the world and therefore limit the demand for their products and services.</w:t>
      </w:r>
    </w:p>
    <w:p w14:paraId="4C6B3F85" w14:textId="26274612" w:rsidR="0070680F" w:rsidRDefault="0070680F" w:rsidP="00E53FC0">
      <w:pPr>
        <w:jc w:val="both"/>
        <w:rPr>
          <w:rFonts w:eastAsiaTheme="minorEastAsia"/>
        </w:rPr>
      </w:pPr>
      <w:r>
        <w:rPr>
          <w:rFonts w:eastAsiaTheme="minorEastAsia"/>
        </w:rPr>
        <w:t xml:space="preserve">These constraints could potentially be what lead The Rank Group to enter the online market. This way, people all around the globe have a chance to use their products and services no matter where they live and if they have access to casinos. </w:t>
      </w:r>
    </w:p>
    <w:p w14:paraId="4BB7E253" w14:textId="34FDEB19" w:rsidR="00941DD3" w:rsidRDefault="00941DD3" w:rsidP="00941DD3">
      <w:pPr>
        <w:pStyle w:val="Title"/>
        <w:jc w:val="right"/>
        <w:rPr>
          <w:rFonts w:eastAsiaTheme="minorEastAsia"/>
          <w:sz w:val="48"/>
          <w:szCs w:val="48"/>
        </w:rPr>
      </w:pPr>
      <w:r>
        <w:rPr>
          <w:rFonts w:eastAsiaTheme="minorEastAsia"/>
          <w:sz w:val="48"/>
          <w:szCs w:val="48"/>
        </w:rPr>
        <w:t>STEP: 8</w:t>
      </w:r>
    </w:p>
    <w:p w14:paraId="1D0DBF42" w14:textId="77777777" w:rsidR="00C15EFC" w:rsidRDefault="00C15EFC" w:rsidP="00C15EFC">
      <w:pPr>
        <w:jc w:val="center"/>
        <w:rPr>
          <w:u w:val="single"/>
        </w:rPr>
      </w:pPr>
      <w:r w:rsidRPr="00C15EFC">
        <w:rPr>
          <w:b/>
          <w:bCs/>
          <w:u w:val="single"/>
        </w:rPr>
        <w:t>Note:</w:t>
      </w:r>
      <w:r>
        <w:rPr>
          <w:u w:val="single"/>
        </w:rPr>
        <w:t xml:space="preserve"> the calculations for these ratios are found in my spreadsheet for The Rank Group.</w:t>
      </w:r>
    </w:p>
    <w:p w14:paraId="336EF9B4" w14:textId="436E471B" w:rsidR="00C15EFC" w:rsidRPr="00C15EFC" w:rsidRDefault="00C15EFC" w:rsidP="00C15EFC">
      <w:pPr>
        <w:jc w:val="center"/>
      </w:pPr>
      <w:r>
        <w:t>I have always enjoyed determining ratios and understanding what they are showing for a business. This step was definitely one of my favourites for the entire assignment!</w:t>
      </w:r>
    </w:p>
    <w:p w14:paraId="0C30E5DE" w14:textId="37D8D2E0" w:rsidR="00C15EFC" w:rsidRDefault="00C15EFC" w:rsidP="00C15EFC">
      <w:pPr>
        <w:pStyle w:val="Heading1"/>
        <w:jc w:val="right"/>
      </w:pPr>
      <w:r>
        <w:t>Profitability Ratios</w:t>
      </w:r>
    </w:p>
    <w:p w14:paraId="07FB097F" w14:textId="208A877D" w:rsidR="00941DD3" w:rsidRDefault="00C15EFC" w:rsidP="00C15EFC">
      <w:pPr>
        <w:jc w:val="both"/>
      </w:pPr>
      <w:r>
        <w:t xml:space="preserve">The net profit margin shows the net profit as a percentage of revenue. At the beginning, it seemed The Rank Group was incredibly successful with 25% of their revenue contributing to profit. However, as the years went on, net profit only seemed to decline, with the biggest decline being from 20.6% to 11.7%. Whilst the net profit is still 9.5% during 2019, it is quite concerning seeing the decline in profitability over the years. Will this company continue this streak, or will they turn it around and create more profitability for the business? </w:t>
      </w:r>
    </w:p>
    <w:p w14:paraId="112ABE36" w14:textId="12C14C64" w:rsidR="00C15EFC" w:rsidRDefault="00C15EFC" w:rsidP="00C15EFC">
      <w:pPr>
        <w:jc w:val="both"/>
      </w:pPr>
      <w:r>
        <w:t>The return on assets ratio is similar in the decline over the years. While originally over 10% of the company’s assets were generating profit, this percentage decreased to just over 4% within the four-year timespan. I found these figures to be quite low and concerning. However, these percentages help understand the net profit margin decline also. If the assets are not generating much profit, why expect such a high net profit margin?</w:t>
      </w:r>
    </w:p>
    <w:p w14:paraId="467B7AF8" w14:textId="6F0483B4" w:rsidR="00C15EFC" w:rsidRDefault="00B12232" w:rsidP="00B12232">
      <w:pPr>
        <w:pStyle w:val="Heading1"/>
        <w:jc w:val="right"/>
      </w:pPr>
      <w:r>
        <w:t>Efficiency/Asset Management Ratios</w:t>
      </w:r>
    </w:p>
    <w:p w14:paraId="1B3D8F52" w14:textId="342E7504" w:rsidR="00B12232" w:rsidRDefault="00B12232" w:rsidP="00B12232">
      <w:pPr>
        <w:jc w:val="both"/>
      </w:pPr>
      <w:r>
        <w:t xml:space="preserve">I found either my calculations were completely incorrect, or this ratio was a bit harder for my company to use. As a gambling operation, I wondered what was meant by inventories. However, the results from this ratio seemed to vary little, with all inventory being sold under three days. Again, I am unsure if this is the correct calculations, maybe it was meant to be in tens. So instead of 2.61 days in 2019, it meant 26.1 days. How would I determine this? Either way, the latter seemed more logical, however I decided to leave the results as they are. Usually in a business, I learnt previously that a 30 day turn-over is best, as each month new stock would usually come into the business therefore the less that was currently in stock, the better. </w:t>
      </w:r>
    </w:p>
    <w:p w14:paraId="754BE740" w14:textId="2CF88FB0" w:rsidR="00B12232" w:rsidRDefault="00B12232" w:rsidP="00B12232">
      <w:pPr>
        <w:jc w:val="both"/>
      </w:pPr>
      <w:r>
        <w:t xml:space="preserve">The total asset turnover ratio also held very little variation between years, with an average of 0.98. as this is less than one cent, I was very concerned with the amount of sales generated from each dollar of assets. Before conducting the ratios, I figured that the company was performing very well. However, after seeing such declines and poor figures, I may have misjudged at the beginning of receiving this company. </w:t>
      </w:r>
    </w:p>
    <w:p w14:paraId="56AD165F" w14:textId="3497E61C" w:rsidR="00B12232" w:rsidRDefault="00B12232" w:rsidP="00B12232">
      <w:pPr>
        <w:pStyle w:val="Heading1"/>
        <w:jc w:val="right"/>
      </w:pPr>
      <w:r>
        <w:lastRenderedPageBreak/>
        <w:t>Liquidity Ratios</w:t>
      </w:r>
    </w:p>
    <w:p w14:paraId="42639EBB" w14:textId="464BCE12" w:rsidR="00B12232" w:rsidRDefault="00B12232" w:rsidP="00B12232">
      <w:pPr>
        <w:jc w:val="both"/>
      </w:pPr>
      <w:r>
        <w:t>Liquidity ratios show how well the business is able to meet its short-term debts with the</w:t>
      </w:r>
      <w:r w:rsidR="007C4F35">
        <w:t xml:space="preserve"> assets they currently have. Unfortunately for The Rank Group, their results were continuously below 1. I hoped the company did not have any short-term debts they needed to pay as I was afraid they would be unable to pay. And it only seemed to get worse as instead on increasing, the figures were declining. What has The Rank Group done to achieve such poor figures. </w:t>
      </w:r>
    </w:p>
    <w:p w14:paraId="652D58A3" w14:textId="50E81B81" w:rsidR="007C4F35" w:rsidRDefault="007C4F35" w:rsidP="007C4F35">
      <w:pPr>
        <w:pStyle w:val="Heading1"/>
        <w:jc w:val="right"/>
      </w:pPr>
      <w:r>
        <w:t>Financial Structure Ratio</w:t>
      </w:r>
    </w:p>
    <w:p w14:paraId="73740AA9" w14:textId="02EC5E5F" w:rsidR="007C4F35" w:rsidRDefault="009102D3" w:rsidP="009102D3">
      <w:pPr>
        <w:jc w:val="both"/>
      </w:pPr>
      <w:r>
        <w:t xml:space="preserve">The debt/equity ratio shows whether the business is highly or lowly geared, whether outside or inside parties have a larger say in what happens in the business. Luckily for The Rank Group, they are lowly geared, meaning they have more power than the debtors to make decisions for the welfare of the business. Although it did not start out this way, in a percentage of 102.7% in 2016. The Rank Group is currently sitting at 78.2%, a much more calming figure for the business. </w:t>
      </w:r>
    </w:p>
    <w:p w14:paraId="40ED0F2B" w14:textId="313DFDEB" w:rsidR="009102D3" w:rsidRDefault="009102D3" w:rsidP="009102D3">
      <w:pPr>
        <w:jc w:val="both"/>
      </w:pPr>
      <w:r>
        <w:t xml:space="preserve">The equity ratio shows how much capital is contributing to a company’s assets. While 2016 showed a percentage of 49.3%, contribution of equity to assets has slowly increased. This ratio is quite pleasing for the business as it demonstrates the low-level risk of relying on creditors. </w:t>
      </w:r>
    </w:p>
    <w:p w14:paraId="10C6973F" w14:textId="35849011" w:rsidR="009102D3" w:rsidRDefault="00E43DE3" w:rsidP="00E43DE3">
      <w:pPr>
        <w:pStyle w:val="Heading1"/>
        <w:jc w:val="right"/>
      </w:pPr>
      <w:r>
        <w:t>Market Ratios</w:t>
      </w:r>
    </w:p>
    <w:p w14:paraId="3997BF88" w14:textId="25B3EAC6" w:rsidR="00E43DE3" w:rsidRDefault="00E43DE3" w:rsidP="00E43DE3">
      <w:pPr>
        <w:jc w:val="both"/>
      </w:pPr>
      <w:r>
        <w:t>Earnings per share seemed quite low</w:t>
      </w:r>
      <w:r w:rsidR="00E31AFA">
        <w:t xml:space="preserve"> for the business, and I was confused on how to interpret this. I suppose, with the decline in profit, earning per share would have to be low. Although this low? I was slightly concerned to see the highest figure was 0.17 in 2017.</w:t>
      </w:r>
    </w:p>
    <w:p w14:paraId="06ADD584" w14:textId="262AEAFD" w:rsidR="00E31AFA" w:rsidRDefault="00E31AFA" w:rsidP="00E43DE3">
      <w:pPr>
        <w:jc w:val="both"/>
      </w:pPr>
      <w:r>
        <w:t>The dividends per share was also quite low. Investors may see that 0.</w:t>
      </w:r>
      <w:r w:rsidR="00582006">
        <w:t>0</w:t>
      </w:r>
      <w:r>
        <w:t xml:space="preserve">7 has been the same for the past three years and may not want to risk investing in this business. </w:t>
      </w:r>
    </w:p>
    <w:p w14:paraId="6410D937" w14:textId="77777777" w:rsidR="007D4190" w:rsidRDefault="00582006" w:rsidP="00E43DE3">
      <w:pPr>
        <w:jc w:val="both"/>
      </w:pPr>
      <w:r>
        <w:t>The market price per share were quite expensive, so I am assuming that is why the price e</w:t>
      </w:r>
      <w:r w:rsidR="007D4190">
        <w:t xml:space="preserve">arnings ratio is as high as it is. For some reason, 2018 seemed to have a large increase in price earning at 2,570.96. the price earning then declined although was still higher than the figures in both 2016 and 2017. </w:t>
      </w:r>
    </w:p>
    <w:p w14:paraId="5785C18D" w14:textId="7D27535C" w:rsidR="00582006" w:rsidRDefault="007D4190" w:rsidP="00E43DE3">
      <w:pPr>
        <w:jc w:val="both"/>
      </w:pPr>
      <w:r>
        <w:t xml:space="preserve">As I found earnings and shares the most complicated out of all, it is no surprise I do not have much else more to comment on these findings. Hopefully, somebody else understands what these mean more than what I do.  </w:t>
      </w:r>
    </w:p>
    <w:p w14:paraId="68B5EB01" w14:textId="680E0BC4" w:rsidR="007D4190" w:rsidRDefault="007D4190" w:rsidP="007D4190">
      <w:pPr>
        <w:pStyle w:val="Heading1"/>
        <w:jc w:val="right"/>
      </w:pPr>
      <w:r>
        <w:t>Ratios Based on Reformulated Financial Statements</w:t>
      </w:r>
    </w:p>
    <w:p w14:paraId="7DE651BD" w14:textId="726D42BF" w:rsidR="007D4190" w:rsidRDefault="007D4190" w:rsidP="007D4190">
      <w:pPr>
        <w:jc w:val="both"/>
      </w:pPr>
      <w:r>
        <w:t xml:space="preserve">The return on equity ratio can be seen as the return on assets minus the liabilities. The percentages for this ratio was never all that high, but I assumed a percentage of 22.46% would still be pleasing for the company. Unfortunately, this ratio only declined as the years went on. </w:t>
      </w:r>
      <w:r w:rsidR="00176C74">
        <w:t xml:space="preserve">Not only did this figure deplete by half over the course of four short years but managed to reach the point of 7.59%. Due to continuously low profit, the return on profit ratio, I assume, is only going to continue to decrease unless The Rank Group is able to find a way to increase their profits. </w:t>
      </w:r>
    </w:p>
    <w:p w14:paraId="64A6928B" w14:textId="3A1D399C" w:rsidR="00176C74" w:rsidRDefault="00176C74" w:rsidP="007D4190">
      <w:pPr>
        <w:jc w:val="both"/>
      </w:pPr>
      <w:r>
        <w:t xml:space="preserve">The return on net operating assets also follows a similar trend as the return on equity ratio. While in 2016 it was at 18.66%, it has now fallen to 7.40%. the best way to improve this ratio is to improve net operating income. Whilst everything is decreasing for this company, I fear future years will be no different. Especially with the global virus in 2020, I fear income for my company will continue to suffer for quite some time. </w:t>
      </w:r>
      <w:r w:rsidR="00074D58">
        <w:t xml:space="preserve">Unfortunately, it can therefore be said company performance is quite poor. </w:t>
      </w:r>
    </w:p>
    <w:p w14:paraId="0E37E805" w14:textId="01E0AA61" w:rsidR="00074D58" w:rsidRDefault="00074D58" w:rsidP="007D4190">
      <w:pPr>
        <w:jc w:val="both"/>
      </w:pPr>
      <w:r>
        <w:t xml:space="preserve">The net borrowing cost is very low for The Rank Group, and whilst it is still quite low, it has slowly increased over the years. In 2016, it was seen the net borrowing cost for the company was -33%, although I am unsure if this cost is even supposed to be negative. During the next four years, the net borrowing cost increased to 3.07%. </w:t>
      </w:r>
    </w:p>
    <w:p w14:paraId="3E11E79A" w14:textId="77777777" w:rsidR="004936B0" w:rsidRDefault="00074D58" w:rsidP="007D4190">
      <w:pPr>
        <w:jc w:val="both"/>
      </w:pPr>
      <w:r>
        <w:t xml:space="preserve">The profit margin shows </w:t>
      </w:r>
      <w:r w:rsidR="004936B0">
        <w:t xml:space="preserve">how much operating profit comes from each dollar of sales. And, unfortunately, as has happened with everything else related to profitability in this business, the profit margin has been </w:t>
      </w:r>
      <w:r w:rsidR="004936B0">
        <w:lastRenderedPageBreak/>
        <w:t>seen to only decrease throughout the years. While I would expect pleasure in a profit margin of 11.27%, such as the figure in 2016, the profit margin is now sitting at an unfortunately low percentage of 4.70%.</w:t>
      </w:r>
    </w:p>
    <w:p w14:paraId="22F4FF9E" w14:textId="58142D3F" w:rsidR="00074D58" w:rsidRDefault="004936B0" w:rsidP="007D4190">
      <w:pPr>
        <w:jc w:val="both"/>
      </w:pPr>
      <w:r>
        <w:t xml:space="preserve">The asset turnover rate shows the value of the company’s revenue that is generated in relation to the value of the assets. Surprisingly, the turnover rate was quite consistent for The Rank Group. The asset turnover rate was always between 1.50 and 1.70, which I believe to be a positive turnover rate for the business. </w:t>
      </w:r>
    </w:p>
    <w:p w14:paraId="19189D6F" w14:textId="4BB952AB" w:rsidR="004936B0" w:rsidRDefault="004936B0" w:rsidP="007D4190">
      <w:pPr>
        <w:jc w:val="both"/>
      </w:pPr>
      <w:r>
        <w:t>Economic profit is the difference between revenue from sales and the costs of</w:t>
      </w:r>
      <w:r w:rsidR="006F4B5A">
        <w:t xml:space="preserve"> these sales. The average cost of capital was 8% as Martin has mentioned in the assignment PDF. At first, I was incredibly concerned to see economic profit was only £45.61 before I realised it was expressed in millions from the other spreadsheets! Once I was no longer worried about the low economic profit, however, I noticed the incredible decline in economic profit in the four years. Within just four years, economic profit decreased from £45.61 million in 2016 to £2.67 million in 2019. I found this to be quite a large decline in economic profit, although, like everything else profit related, I guess I should not </w:t>
      </w:r>
      <w:r w:rsidR="00F17481">
        <w:t>have</w:t>
      </w:r>
      <w:r w:rsidR="006F4B5A">
        <w:t xml:space="preserve"> been surprised. </w:t>
      </w:r>
    </w:p>
    <w:p w14:paraId="6293056E" w14:textId="32462AC9" w:rsidR="006F4B5A" w:rsidRPr="007D4190" w:rsidRDefault="006F4B5A" w:rsidP="007D4190">
      <w:pPr>
        <w:jc w:val="both"/>
      </w:pPr>
      <w:r>
        <w:t xml:space="preserve">Overall, I found profitability a large concern for the business. If The Rank Group do not improve their profit and income, I am unsure how much longer the business will be operating for. </w:t>
      </w:r>
    </w:p>
    <w:p w14:paraId="19EDADA7" w14:textId="5ED0473C" w:rsidR="00C91F95" w:rsidRDefault="00C91F95" w:rsidP="00C91F95">
      <w:pPr>
        <w:pStyle w:val="Title"/>
        <w:jc w:val="right"/>
        <w:rPr>
          <w:sz w:val="48"/>
          <w:szCs w:val="48"/>
        </w:rPr>
      </w:pPr>
      <w:r>
        <w:rPr>
          <w:sz w:val="48"/>
          <w:szCs w:val="48"/>
        </w:rPr>
        <w:t>STEP: 9</w:t>
      </w:r>
    </w:p>
    <w:p w14:paraId="7749BD28" w14:textId="174520B0" w:rsidR="00C91F95" w:rsidRDefault="00285EBF" w:rsidP="006F1B2C">
      <w:pPr>
        <w:jc w:val="both"/>
      </w:pPr>
      <w:r>
        <w:t xml:space="preserve">In July 2021, The Rank Group has to decide whether they choose to go ahead with one of two plans for their company. The first plan involves </w:t>
      </w:r>
      <w:r w:rsidR="007024BC">
        <w:t>developing</w:t>
      </w:r>
      <w:r>
        <w:t xml:space="preserve"> a casino in </w:t>
      </w:r>
      <w:r w:rsidR="007024BC">
        <w:t xml:space="preserve">Paris, France and therefore extending their business </w:t>
      </w:r>
      <w:r w:rsidR="00F900A7">
        <w:t>outside of their</w:t>
      </w:r>
      <w:r w:rsidR="007024BC">
        <w:t xml:space="preserve"> main British </w:t>
      </w:r>
      <w:r w:rsidR="00F900A7">
        <w:t>m</w:t>
      </w:r>
      <w:r w:rsidR="007024BC">
        <w:t>arket</w:t>
      </w:r>
      <w:r w:rsidR="00F900A7">
        <w:t xml:space="preserve"> and smaller Spanish market</w:t>
      </w:r>
      <w:r w:rsidR="007024BC">
        <w:t>.</w:t>
      </w:r>
      <w:r>
        <w:t xml:space="preserve"> </w:t>
      </w:r>
      <w:r w:rsidR="007024BC">
        <w:t>The second plan involves much less risk and includes developing a</w:t>
      </w:r>
      <w:r w:rsidR="00F900A7">
        <w:t>nother</w:t>
      </w:r>
      <w:r w:rsidR="007024BC">
        <w:t xml:space="preserve"> casino </w:t>
      </w:r>
      <w:r w:rsidR="00F900A7">
        <w:t xml:space="preserve">in Wales, more specifically, in </w:t>
      </w:r>
      <w:r w:rsidR="002239BD">
        <w:t>Newport</w:t>
      </w:r>
      <w:r w:rsidR="00B72E77">
        <w:t>.</w:t>
      </w:r>
      <w:r w:rsidR="00F900A7">
        <w:t xml:space="preserve">  </w:t>
      </w:r>
    </w:p>
    <w:p w14:paraId="51735392" w14:textId="738EB566" w:rsidR="00C53EF2" w:rsidRDefault="006F1B2C" w:rsidP="006F1B2C">
      <w:pPr>
        <w:jc w:val="both"/>
      </w:pPr>
      <w:r>
        <w:t xml:space="preserve">Involved in the initial investment costs would be the assumed costs of acquiring the casino, any renovations or improvements made to the casino including furnishes and other necessary equipment for it to operate smoothly, insurance and other similar costs in order for the casino to be up and running. </w:t>
      </w:r>
      <w:r w:rsidR="00FB19B9">
        <w:t xml:space="preserve">The initial investment cost for each plan will be quite similar as it requires many of the same things to get it operating. The only thing that would differentiate the two costs includes a difference in price for casinos. </w:t>
      </w:r>
      <w:r w:rsidR="00C53EF2">
        <w:t>The table below shows the initial investment cost, residual value, expected useful life and expected future cash flow. All monetary values are expressed in English pounds.</w:t>
      </w:r>
    </w:p>
    <w:tbl>
      <w:tblPr>
        <w:tblStyle w:val="PlainTable2"/>
        <w:tblW w:w="0" w:type="auto"/>
        <w:tblLook w:val="04A0" w:firstRow="1" w:lastRow="0" w:firstColumn="1" w:lastColumn="0" w:noHBand="0" w:noVBand="1"/>
      </w:tblPr>
      <w:tblGrid>
        <w:gridCol w:w="3402"/>
        <w:gridCol w:w="2608"/>
        <w:gridCol w:w="3006"/>
      </w:tblGrid>
      <w:tr w:rsidR="009F0C92" w14:paraId="2D052D1F" w14:textId="77777777" w:rsidTr="009F0C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1251D728" w14:textId="77777777" w:rsidR="009F0C92" w:rsidRDefault="009F0C92" w:rsidP="009F0C92">
            <w:pPr>
              <w:jc w:val="right"/>
            </w:pPr>
          </w:p>
        </w:tc>
        <w:tc>
          <w:tcPr>
            <w:tcW w:w="2608" w:type="dxa"/>
            <w:shd w:val="clear" w:color="auto" w:fill="74B5E4" w:themeFill="accent2" w:themeFillTint="99"/>
          </w:tcPr>
          <w:p w14:paraId="68B7D6D2" w14:textId="59D7FA32" w:rsidR="009F0C92" w:rsidRDefault="009F0C92" w:rsidP="009F0C92">
            <w:pPr>
              <w:jc w:val="right"/>
              <w:cnfStyle w:val="100000000000" w:firstRow="1" w:lastRow="0" w:firstColumn="0" w:lastColumn="0" w:oddVBand="0" w:evenVBand="0" w:oddHBand="0" w:evenHBand="0" w:firstRowFirstColumn="0" w:firstRowLastColumn="0" w:lastRowFirstColumn="0" w:lastRowLastColumn="0"/>
            </w:pPr>
            <w:r>
              <w:t>PLAN 1</w:t>
            </w:r>
          </w:p>
        </w:tc>
        <w:tc>
          <w:tcPr>
            <w:tcW w:w="3006" w:type="dxa"/>
            <w:shd w:val="clear" w:color="auto" w:fill="74B5E4" w:themeFill="accent2" w:themeFillTint="99"/>
          </w:tcPr>
          <w:p w14:paraId="6FB92674" w14:textId="0D39F732" w:rsidR="009F0C92" w:rsidRDefault="009F0C92" w:rsidP="009F0C92">
            <w:pPr>
              <w:jc w:val="right"/>
              <w:cnfStyle w:val="100000000000" w:firstRow="1" w:lastRow="0" w:firstColumn="0" w:lastColumn="0" w:oddVBand="0" w:evenVBand="0" w:oddHBand="0" w:evenHBand="0" w:firstRowFirstColumn="0" w:firstRowLastColumn="0" w:lastRowFirstColumn="0" w:lastRowLastColumn="0"/>
            </w:pPr>
            <w:r>
              <w:t>PLAN 2</w:t>
            </w:r>
          </w:p>
        </w:tc>
      </w:tr>
      <w:tr w:rsidR="009F0C92" w14:paraId="73FCD365" w14:textId="77777777" w:rsidTr="009F0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1C368C7A" w14:textId="77777777" w:rsidR="009F0C92" w:rsidRDefault="009F0C92" w:rsidP="009F0C92">
            <w:pPr>
              <w:jc w:val="right"/>
            </w:pPr>
          </w:p>
        </w:tc>
        <w:tc>
          <w:tcPr>
            <w:tcW w:w="2608" w:type="dxa"/>
            <w:shd w:val="clear" w:color="auto" w:fill="A3CEED" w:themeFill="accent2" w:themeFillTint="66"/>
          </w:tcPr>
          <w:p w14:paraId="73B7ECD9" w14:textId="3DB1890D" w:rsidR="009F0C92" w:rsidRDefault="009F0C92" w:rsidP="009F0C92">
            <w:pPr>
              <w:jc w:val="right"/>
              <w:cnfStyle w:val="000000100000" w:firstRow="0" w:lastRow="0" w:firstColumn="0" w:lastColumn="0" w:oddVBand="0" w:evenVBand="0" w:oddHBand="1" w:evenHBand="0" w:firstRowFirstColumn="0" w:firstRowLastColumn="0" w:lastRowFirstColumn="0" w:lastRowLastColumn="0"/>
            </w:pPr>
            <w:r>
              <w:t>PARIS</w:t>
            </w:r>
          </w:p>
        </w:tc>
        <w:tc>
          <w:tcPr>
            <w:tcW w:w="3006" w:type="dxa"/>
            <w:shd w:val="clear" w:color="auto" w:fill="A3CEED" w:themeFill="accent2" w:themeFillTint="66"/>
          </w:tcPr>
          <w:p w14:paraId="72063A70" w14:textId="1DF53BDC" w:rsidR="009F0C92" w:rsidRDefault="009F0C92" w:rsidP="009F0C92">
            <w:pPr>
              <w:jc w:val="right"/>
              <w:cnfStyle w:val="000000100000" w:firstRow="0" w:lastRow="0" w:firstColumn="0" w:lastColumn="0" w:oddVBand="0" w:evenVBand="0" w:oddHBand="1" w:evenHBand="0" w:firstRowFirstColumn="0" w:firstRowLastColumn="0" w:lastRowFirstColumn="0" w:lastRowLastColumn="0"/>
            </w:pPr>
            <w:r>
              <w:t>NEWCASTLE</w:t>
            </w:r>
          </w:p>
        </w:tc>
      </w:tr>
      <w:tr w:rsidR="009F0C92" w14:paraId="17135809"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4546BB82" w14:textId="555211CD" w:rsidR="009F0C92" w:rsidRPr="009F0C92" w:rsidRDefault="009F0C92" w:rsidP="009F0C92">
            <w:pPr>
              <w:jc w:val="right"/>
              <w:rPr>
                <w:b w:val="0"/>
                <w:bCs w:val="0"/>
              </w:rPr>
            </w:pPr>
            <w:r>
              <w:t>INITIAL INVESTMENT COST</w:t>
            </w:r>
          </w:p>
        </w:tc>
        <w:tc>
          <w:tcPr>
            <w:tcW w:w="2608" w:type="dxa"/>
          </w:tcPr>
          <w:p w14:paraId="459440C5" w14:textId="243F4031" w:rsidR="009F0C92" w:rsidRPr="009F0C92" w:rsidRDefault="009F0C92" w:rsidP="009F0C92">
            <w:pPr>
              <w:jc w:val="right"/>
              <w:cnfStyle w:val="000000000000" w:firstRow="0" w:lastRow="0" w:firstColumn="0" w:lastColumn="0" w:oddVBand="0" w:evenVBand="0" w:oddHBand="0" w:evenHBand="0" w:firstRowFirstColumn="0" w:firstRowLastColumn="0" w:lastRowFirstColumn="0" w:lastRowLastColumn="0"/>
              <w:rPr>
                <w:rFonts w:eastAsiaTheme="minorEastAsia"/>
              </w:rPr>
            </w:pPr>
            <w:r>
              <w:rPr>
                <w:rFonts w:eastAsiaTheme="minorEastAsia"/>
              </w:rPr>
              <w:t>£</w:t>
            </w:r>
            <w:r w:rsidR="00C53EF2">
              <w:rPr>
                <w:rFonts w:eastAsiaTheme="minorEastAsia"/>
              </w:rPr>
              <w:t>80</w:t>
            </w:r>
            <w:r>
              <w:rPr>
                <w:rFonts w:eastAsiaTheme="minorEastAsia"/>
              </w:rPr>
              <w:t xml:space="preserve"> million</w:t>
            </w:r>
          </w:p>
        </w:tc>
        <w:tc>
          <w:tcPr>
            <w:tcW w:w="3006" w:type="dxa"/>
          </w:tcPr>
          <w:p w14:paraId="63859789" w14:textId="067E5082"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w:t>
            </w:r>
            <w:r w:rsidR="00C53EF2">
              <w:rPr>
                <w:rFonts w:eastAsiaTheme="minorEastAsia"/>
              </w:rPr>
              <w:t>65</w:t>
            </w:r>
            <w:r>
              <w:rPr>
                <w:rFonts w:eastAsiaTheme="minorEastAsia"/>
              </w:rPr>
              <w:t xml:space="preserve"> million</w:t>
            </w:r>
          </w:p>
        </w:tc>
      </w:tr>
      <w:tr w:rsidR="009F0C92" w14:paraId="2FDF771C"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5C250F02" w14:textId="01648E92" w:rsidR="009F0C92" w:rsidRDefault="009F0C92" w:rsidP="009F0C92">
            <w:pPr>
              <w:jc w:val="right"/>
            </w:pPr>
            <w:r>
              <w:t>RESIDUAL VALUE</w:t>
            </w:r>
          </w:p>
        </w:tc>
        <w:tc>
          <w:tcPr>
            <w:tcW w:w="2608" w:type="dxa"/>
            <w:shd w:val="clear" w:color="auto" w:fill="D0E6F6" w:themeFill="accent2" w:themeFillTint="33"/>
          </w:tcPr>
          <w:p w14:paraId="14BDB358" w14:textId="5836CDA7" w:rsidR="009F0C92" w:rsidRDefault="009F0C92"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£7 million</w:t>
            </w:r>
          </w:p>
        </w:tc>
        <w:tc>
          <w:tcPr>
            <w:tcW w:w="3006" w:type="dxa"/>
            <w:shd w:val="clear" w:color="auto" w:fill="D0E6F6" w:themeFill="accent2" w:themeFillTint="33"/>
          </w:tcPr>
          <w:p w14:paraId="4C95F4DC" w14:textId="4ADCC4C2"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£3 million</w:t>
            </w:r>
          </w:p>
        </w:tc>
      </w:tr>
      <w:tr w:rsidR="009F0C92" w14:paraId="77540C89"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2AE9492F" w14:textId="7DD0D9F3" w:rsidR="009F0C92" w:rsidRDefault="009F0C92" w:rsidP="009F0C92">
            <w:pPr>
              <w:jc w:val="right"/>
            </w:pPr>
            <w:r>
              <w:t>EXPECTED USEFUL LIFE</w:t>
            </w:r>
          </w:p>
        </w:tc>
        <w:tc>
          <w:tcPr>
            <w:tcW w:w="2608" w:type="dxa"/>
          </w:tcPr>
          <w:p w14:paraId="52A96C03" w14:textId="78C85275" w:rsidR="009F0C92" w:rsidRDefault="009F0C92" w:rsidP="009F0C92">
            <w:pPr>
              <w:jc w:val="right"/>
              <w:cnfStyle w:val="000000000000" w:firstRow="0" w:lastRow="0" w:firstColumn="0" w:lastColumn="0" w:oddVBand="0" w:evenVBand="0" w:oddHBand="0" w:evenHBand="0" w:firstRowFirstColumn="0" w:firstRowLastColumn="0" w:lastRowFirstColumn="0" w:lastRowLastColumn="0"/>
            </w:pPr>
            <w:r>
              <w:t>10 years</w:t>
            </w:r>
          </w:p>
        </w:tc>
        <w:tc>
          <w:tcPr>
            <w:tcW w:w="3006" w:type="dxa"/>
          </w:tcPr>
          <w:p w14:paraId="48A1840F" w14:textId="333D1DDF"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t>10 years</w:t>
            </w:r>
          </w:p>
        </w:tc>
      </w:tr>
      <w:tr w:rsidR="009F0C92" w14:paraId="5946644B" w14:textId="77777777" w:rsidTr="00164E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74B5E4" w:themeFill="accent2" w:themeFillTint="99"/>
          </w:tcPr>
          <w:p w14:paraId="6E71E2D8" w14:textId="0D170B30" w:rsidR="009F0C92" w:rsidRDefault="009F0C92" w:rsidP="009F0C92">
            <w:pPr>
              <w:jc w:val="right"/>
            </w:pPr>
            <w:r>
              <w:t>EXPECTED FUTURE CASHFLOWS:</w:t>
            </w:r>
          </w:p>
        </w:tc>
        <w:tc>
          <w:tcPr>
            <w:tcW w:w="2608" w:type="dxa"/>
            <w:shd w:val="clear" w:color="auto" w:fill="74B5E4" w:themeFill="accent2" w:themeFillTint="99"/>
          </w:tcPr>
          <w:p w14:paraId="22187B12" w14:textId="77777777" w:rsidR="009F0C92" w:rsidRDefault="009F0C92" w:rsidP="009F0C92">
            <w:pPr>
              <w:jc w:val="right"/>
              <w:cnfStyle w:val="000000100000" w:firstRow="0" w:lastRow="0" w:firstColumn="0" w:lastColumn="0" w:oddVBand="0" w:evenVBand="0" w:oddHBand="1" w:evenHBand="0" w:firstRowFirstColumn="0" w:firstRowLastColumn="0" w:lastRowFirstColumn="0" w:lastRowLastColumn="0"/>
            </w:pPr>
          </w:p>
        </w:tc>
        <w:tc>
          <w:tcPr>
            <w:tcW w:w="3006" w:type="dxa"/>
            <w:shd w:val="clear" w:color="auto" w:fill="74B5E4" w:themeFill="accent2" w:themeFillTint="99"/>
          </w:tcPr>
          <w:p w14:paraId="20362C18" w14:textId="77777777" w:rsidR="009F0C92" w:rsidRDefault="009F0C92" w:rsidP="009F0C92">
            <w:pPr>
              <w:jc w:val="right"/>
              <w:cnfStyle w:val="000000100000" w:firstRow="0" w:lastRow="0" w:firstColumn="0" w:lastColumn="0" w:oddVBand="0" w:evenVBand="0" w:oddHBand="1" w:evenHBand="0" w:firstRowFirstColumn="0" w:firstRowLastColumn="0" w:lastRowFirstColumn="0" w:lastRowLastColumn="0"/>
            </w:pPr>
          </w:p>
        </w:tc>
      </w:tr>
      <w:tr w:rsidR="009F0C92" w14:paraId="4E9CD8E4"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7C826756" w14:textId="4C86E3B8" w:rsidR="009F0C92" w:rsidRDefault="009F0C92" w:rsidP="009F0C92">
            <w:pPr>
              <w:ind w:left="720"/>
              <w:jc w:val="right"/>
            </w:pPr>
            <w:r>
              <w:t>YEAR 1</w:t>
            </w:r>
          </w:p>
        </w:tc>
        <w:tc>
          <w:tcPr>
            <w:tcW w:w="2608" w:type="dxa"/>
          </w:tcPr>
          <w:p w14:paraId="31C34322" w14:textId="29C04394"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£2 million</w:t>
            </w:r>
          </w:p>
        </w:tc>
        <w:tc>
          <w:tcPr>
            <w:tcW w:w="3006" w:type="dxa"/>
          </w:tcPr>
          <w:p w14:paraId="2AF3309E" w14:textId="2E38F479"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£8 million</w:t>
            </w:r>
          </w:p>
        </w:tc>
      </w:tr>
      <w:tr w:rsidR="009F0C92" w14:paraId="379EFA0E"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72398535" w14:textId="16FAB7BA" w:rsidR="009F0C92" w:rsidRDefault="009F0C92" w:rsidP="009F0C92">
            <w:pPr>
              <w:ind w:left="720"/>
              <w:jc w:val="right"/>
            </w:pPr>
            <w:r>
              <w:t>YEAR 2</w:t>
            </w:r>
          </w:p>
        </w:tc>
        <w:tc>
          <w:tcPr>
            <w:tcW w:w="2608" w:type="dxa"/>
            <w:shd w:val="clear" w:color="auto" w:fill="D0E6F6" w:themeFill="accent2" w:themeFillTint="33"/>
          </w:tcPr>
          <w:p w14:paraId="23B82F0D" w14:textId="4343CA69"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£7 million</w:t>
            </w:r>
          </w:p>
        </w:tc>
        <w:tc>
          <w:tcPr>
            <w:tcW w:w="3006" w:type="dxa"/>
            <w:shd w:val="clear" w:color="auto" w:fill="D0E6F6" w:themeFill="accent2" w:themeFillTint="33"/>
          </w:tcPr>
          <w:p w14:paraId="6BF1D5AB" w14:textId="54F13789"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£14 million</w:t>
            </w:r>
          </w:p>
        </w:tc>
      </w:tr>
      <w:tr w:rsidR="009F0C92" w14:paraId="2233CE13"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68EBCB84" w14:textId="61AD0224" w:rsidR="009F0C92" w:rsidRDefault="009F0C92" w:rsidP="009F0C92">
            <w:pPr>
              <w:ind w:left="720"/>
              <w:jc w:val="right"/>
            </w:pPr>
            <w:r>
              <w:t>YEAR 3</w:t>
            </w:r>
          </w:p>
        </w:tc>
        <w:tc>
          <w:tcPr>
            <w:tcW w:w="2608" w:type="dxa"/>
          </w:tcPr>
          <w:p w14:paraId="38EB7E64" w14:textId="0842A15E"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£16 million</w:t>
            </w:r>
          </w:p>
        </w:tc>
        <w:tc>
          <w:tcPr>
            <w:tcW w:w="3006" w:type="dxa"/>
          </w:tcPr>
          <w:p w14:paraId="3D5C8A56" w14:textId="2C15CB6B"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£20 million</w:t>
            </w:r>
          </w:p>
        </w:tc>
      </w:tr>
      <w:tr w:rsidR="009F0C92" w14:paraId="6FEFE914"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387577A9" w14:textId="7EFD5727" w:rsidR="009F0C92" w:rsidRDefault="009F0C92" w:rsidP="009F0C92">
            <w:pPr>
              <w:ind w:left="720"/>
              <w:jc w:val="right"/>
            </w:pPr>
            <w:r>
              <w:t>YEAR 4</w:t>
            </w:r>
          </w:p>
        </w:tc>
        <w:tc>
          <w:tcPr>
            <w:tcW w:w="2608" w:type="dxa"/>
            <w:shd w:val="clear" w:color="auto" w:fill="D0E6F6" w:themeFill="accent2" w:themeFillTint="33"/>
          </w:tcPr>
          <w:p w14:paraId="0D7C502F" w14:textId="3B01098A"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£25 million</w:t>
            </w:r>
          </w:p>
        </w:tc>
        <w:tc>
          <w:tcPr>
            <w:tcW w:w="3006" w:type="dxa"/>
            <w:shd w:val="clear" w:color="auto" w:fill="D0E6F6" w:themeFill="accent2" w:themeFillTint="33"/>
          </w:tcPr>
          <w:p w14:paraId="751CE0FB" w14:textId="6C36F1A9"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£26 million</w:t>
            </w:r>
          </w:p>
        </w:tc>
      </w:tr>
      <w:tr w:rsidR="009F0C92" w14:paraId="22176E6B"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61CD93AF" w14:textId="2CDA19E1" w:rsidR="009F0C92" w:rsidRDefault="009F0C92" w:rsidP="009F0C92">
            <w:pPr>
              <w:ind w:left="720"/>
              <w:jc w:val="right"/>
            </w:pPr>
            <w:r>
              <w:t>YEAR 5</w:t>
            </w:r>
          </w:p>
        </w:tc>
        <w:tc>
          <w:tcPr>
            <w:tcW w:w="2608" w:type="dxa"/>
          </w:tcPr>
          <w:p w14:paraId="26A77E50" w14:textId="118C2511"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£35 million</w:t>
            </w:r>
          </w:p>
        </w:tc>
        <w:tc>
          <w:tcPr>
            <w:tcW w:w="3006" w:type="dxa"/>
          </w:tcPr>
          <w:p w14:paraId="02A57F75" w14:textId="5BD5ED84"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£32 million</w:t>
            </w:r>
          </w:p>
        </w:tc>
      </w:tr>
      <w:tr w:rsidR="009F0C92" w14:paraId="5563E0CE"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77F3BA37" w14:textId="3ADED7E5" w:rsidR="009F0C92" w:rsidRDefault="009F0C92" w:rsidP="009F0C92">
            <w:pPr>
              <w:ind w:left="720"/>
              <w:jc w:val="right"/>
            </w:pPr>
            <w:r>
              <w:t xml:space="preserve">YEAR 6 </w:t>
            </w:r>
          </w:p>
        </w:tc>
        <w:tc>
          <w:tcPr>
            <w:tcW w:w="2608" w:type="dxa"/>
            <w:shd w:val="clear" w:color="auto" w:fill="D0E6F6" w:themeFill="accent2" w:themeFillTint="33"/>
          </w:tcPr>
          <w:p w14:paraId="5C3BBB6D" w14:textId="0CBA3004"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£48 million</w:t>
            </w:r>
          </w:p>
        </w:tc>
        <w:tc>
          <w:tcPr>
            <w:tcW w:w="3006" w:type="dxa"/>
            <w:shd w:val="clear" w:color="auto" w:fill="D0E6F6" w:themeFill="accent2" w:themeFillTint="33"/>
          </w:tcPr>
          <w:p w14:paraId="7A9230B7" w14:textId="107794AA"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£40 million</w:t>
            </w:r>
          </w:p>
        </w:tc>
      </w:tr>
      <w:tr w:rsidR="009F0C92" w14:paraId="4D328803"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73B41048" w14:textId="02F02A88" w:rsidR="009F0C92" w:rsidRDefault="009F0C92" w:rsidP="009F0C92">
            <w:pPr>
              <w:ind w:left="720"/>
              <w:jc w:val="right"/>
            </w:pPr>
            <w:r>
              <w:t>YEAR 7</w:t>
            </w:r>
          </w:p>
        </w:tc>
        <w:tc>
          <w:tcPr>
            <w:tcW w:w="2608" w:type="dxa"/>
          </w:tcPr>
          <w:p w14:paraId="5DE18501" w14:textId="113794B1"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£43 million</w:t>
            </w:r>
          </w:p>
        </w:tc>
        <w:tc>
          <w:tcPr>
            <w:tcW w:w="3006" w:type="dxa"/>
          </w:tcPr>
          <w:p w14:paraId="2FB8521A" w14:textId="3A59B0CE" w:rsidR="009F0C92" w:rsidRPr="00164E03"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£43 million</w:t>
            </w:r>
          </w:p>
        </w:tc>
      </w:tr>
      <w:tr w:rsidR="009F0C92" w14:paraId="30C47506"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2698A964" w14:textId="1C4F70D7" w:rsidR="009F0C92" w:rsidRDefault="009F0C92" w:rsidP="009F0C92">
            <w:pPr>
              <w:ind w:left="720"/>
              <w:jc w:val="right"/>
            </w:pPr>
            <w:r>
              <w:t>YEAR 8</w:t>
            </w:r>
          </w:p>
        </w:tc>
        <w:tc>
          <w:tcPr>
            <w:tcW w:w="2608" w:type="dxa"/>
            <w:shd w:val="clear" w:color="auto" w:fill="D0E6F6" w:themeFill="accent2" w:themeFillTint="33"/>
          </w:tcPr>
          <w:p w14:paraId="49A7340C" w14:textId="1E8BA804"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£39 million</w:t>
            </w:r>
          </w:p>
        </w:tc>
        <w:tc>
          <w:tcPr>
            <w:tcW w:w="3006" w:type="dxa"/>
            <w:shd w:val="clear" w:color="auto" w:fill="D0E6F6" w:themeFill="accent2" w:themeFillTint="33"/>
          </w:tcPr>
          <w:p w14:paraId="2E849E95" w14:textId="700179B6"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£40 million</w:t>
            </w:r>
          </w:p>
        </w:tc>
      </w:tr>
      <w:tr w:rsidR="009F0C92" w14:paraId="11DE70C6" w14:textId="77777777" w:rsidTr="009F0C92">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7BCA382D" w14:textId="4CA1CF08" w:rsidR="009F0C92" w:rsidRDefault="009F0C92" w:rsidP="009F0C92">
            <w:pPr>
              <w:ind w:left="720"/>
              <w:jc w:val="right"/>
            </w:pPr>
            <w:r>
              <w:t>YEAR 9</w:t>
            </w:r>
          </w:p>
        </w:tc>
        <w:tc>
          <w:tcPr>
            <w:tcW w:w="2608" w:type="dxa"/>
          </w:tcPr>
          <w:p w14:paraId="17D9FDC0" w14:textId="7A28E1A3" w:rsidR="009F0C92" w:rsidRPr="00164E03"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£40 million</w:t>
            </w:r>
          </w:p>
        </w:tc>
        <w:tc>
          <w:tcPr>
            <w:tcW w:w="3006" w:type="dxa"/>
          </w:tcPr>
          <w:p w14:paraId="20E87BB4" w14:textId="1266074A" w:rsidR="009F0C92" w:rsidRDefault="00164E03" w:rsidP="009F0C92">
            <w:pPr>
              <w:jc w:val="right"/>
              <w:cnfStyle w:val="000000000000" w:firstRow="0" w:lastRow="0" w:firstColumn="0" w:lastColumn="0" w:oddVBand="0" w:evenVBand="0" w:oddHBand="0" w:evenHBand="0" w:firstRowFirstColumn="0" w:firstRowLastColumn="0" w:lastRowFirstColumn="0" w:lastRowLastColumn="0"/>
            </w:pPr>
            <w:r>
              <w:rPr>
                <w:rFonts w:eastAsiaTheme="minorEastAsia"/>
              </w:rPr>
              <w:t>£38 million</w:t>
            </w:r>
          </w:p>
        </w:tc>
      </w:tr>
      <w:tr w:rsidR="009F0C92" w14:paraId="21DE58E4" w14:textId="77777777" w:rsidTr="00C53E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shd w:val="clear" w:color="auto" w:fill="A3CEED" w:themeFill="accent2" w:themeFillTint="66"/>
          </w:tcPr>
          <w:p w14:paraId="1D99213E" w14:textId="07C1BD6F" w:rsidR="009F0C92" w:rsidRDefault="009F0C92" w:rsidP="009F0C92">
            <w:pPr>
              <w:ind w:left="720"/>
              <w:jc w:val="right"/>
            </w:pPr>
            <w:r>
              <w:t>YEAR 10</w:t>
            </w:r>
          </w:p>
        </w:tc>
        <w:tc>
          <w:tcPr>
            <w:tcW w:w="2608" w:type="dxa"/>
            <w:shd w:val="clear" w:color="auto" w:fill="D0E6F6" w:themeFill="accent2" w:themeFillTint="33"/>
          </w:tcPr>
          <w:p w14:paraId="169CFBAD" w14:textId="17409C09" w:rsidR="009F0C92" w:rsidRDefault="00164E03"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£36 million</w:t>
            </w:r>
          </w:p>
        </w:tc>
        <w:tc>
          <w:tcPr>
            <w:tcW w:w="3006" w:type="dxa"/>
            <w:shd w:val="clear" w:color="auto" w:fill="D0E6F6" w:themeFill="accent2" w:themeFillTint="33"/>
          </w:tcPr>
          <w:p w14:paraId="1F6FDF83" w14:textId="3B0B49C9" w:rsidR="009F0C92" w:rsidRDefault="00C53EF2" w:rsidP="009F0C92">
            <w:pPr>
              <w:jc w:val="right"/>
              <w:cnfStyle w:val="000000100000" w:firstRow="0" w:lastRow="0" w:firstColumn="0" w:lastColumn="0" w:oddVBand="0" w:evenVBand="0" w:oddHBand="1" w:evenHBand="0" w:firstRowFirstColumn="0" w:firstRowLastColumn="0" w:lastRowFirstColumn="0" w:lastRowLastColumn="0"/>
            </w:pPr>
            <w:r>
              <w:rPr>
                <w:rFonts w:eastAsiaTheme="minorEastAsia"/>
              </w:rPr>
              <w:t>£35 million</w:t>
            </w:r>
          </w:p>
        </w:tc>
      </w:tr>
    </w:tbl>
    <w:p w14:paraId="246F0F84" w14:textId="6582A88B" w:rsidR="00326D74" w:rsidRDefault="00BE05F4" w:rsidP="006F1B2C">
      <w:pPr>
        <w:jc w:val="both"/>
      </w:pPr>
      <w:r>
        <w:t xml:space="preserve">Following with this, the payback period, net present value (NPV) and the internal rate of return (IRR) can be found below. </w:t>
      </w:r>
      <w:r w:rsidR="00D30ED8">
        <w:t>Please note the discount rate is 8%.</w:t>
      </w:r>
    </w:p>
    <w:tbl>
      <w:tblPr>
        <w:tblStyle w:val="TableGrid"/>
        <w:tblW w:w="0" w:type="auto"/>
        <w:tblLook w:val="04A0" w:firstRow="1" w:lastRow="0" w:firstColumn="1" w:lastColumn="0" w:noHBand="0" w:noVBand="1"/>
      </w:tblPr>
      <w:tblGrid>
        <w:gridCol w:w="3397"/>
        <w:gridCol w:w="2694"/>
        <w:gridCol w:w="2925"/>
      </w:tblGrid>
      <w:tr w:rsidR="00F114A3" w14:paraId="01790B9E" w14:textId="77777777" w:rsidTr="007E4396">
        <w:tc>
          <w:tcPr>
            <w:tcW w:w="3397" w:type="dxa"/>
            <w:shd w:val="clear" w:color="auto" w:fill="74B5E4" w:themeFill="accent2" w:themeFillTint="99"/>
          </w:tcPr>
          <w:p w14:paraId="1C7C98D8" w14:textId="77777777" w:rsidR="00F114A3" w:rsidRDefault="00F114A3" w:rsidP="006F1B2C">
            <w:pPr>
              <w:jc w:val="both"/>
            </w:pPr>
          </w:p>
        </w:tc>
        <w:tc>
          <w:tcPr>
            <w:tcW w:w="2694" w:type="dxa"/>
            <w:shd w:val="clear" w:color="auto" w:fill="74B5E4" w:themeFill="accent2" w:themeFillTint="99"/>
          </w:tcPr>
          <w:p w14:paraId="7300642B" w14:textId="188DE464" w:rsidR="00F114A3" w:rsidRPr="00F114A3" w:rsidRDefault="00F114A3" w:rsidP="007E4396">
            <w:pPr>
              <w:jc w:val="right"/>
              <w:rPr>
                <w:b/>
                <w:bCs/>
              </w:rPr>
            </w:pPr>
            <w:r>
              <w:rPr>
                <w:b/>
                <w:bCs/>
              </w:rPr>
              <w:t>PLAN 1</w:t>
            </w:r>
          </w:p>
        </w:tc>
        <w:tc>
          <w:tcPr>
            <w:tcW w:w="2925" w:type="dxa"/>
            <w:shd w:val="clear" w:color="auto" w:fill="74B5E4" w:themeFill="accent2" w:themeFillTint="99"/>
          </w:tcPr>
          <w:p w14:paraId="710FAD52" w14:textId="7BEFBE98" w:rsidR="00F114A3" w:rsidRPr="00F114A3" w:rsidRDefault="00F114A3" w:rsidP="007E4396">
            <w:pPr>
              <w:jc w:val="right"/>
              <w:rPr>
                <w:b/>
                <w:bCs/>
              </w:rPr>
            </w:pPr>
            <w:r>
              <w:rPr>
                <w:b/>
                <w:bCs/>
              </w:rPr>
              <w:t>PLAN 2</w:t>
            </w:r>
          </w:p>
        </w:tc>
      </w:tr>
      <w:tr w:rsidR="00F114A3" w14:paraId="310D234A" w14:textId="77777777" w:rsidTr="007E4396">
        <w:tc>
          <w:tcPr>
            <w:tcW w:w="3397" w:type="dxa"/>
            <w:shd w:val="clear" w:color="auto" w:fill="A3CEED" w:themeFill="accent2" w:themeFillTint="66"/>
          </w:tcPr>
          <w:p w14:paraId="1BBF645F" w14:textId="77777777" w:rsidR="00F114A3" w:rsidRDefault="00F114A3" w:rsidP="007E4396">
            <w:pPr>
              <w:jc w:val="right"/>
            </w:pPr>
          </w:p>
        </w:tc>
        <w:tc>
          <w:tcPr>
            <w:tcW w:w="2694" w:type="dxa"/>
            <w:shd w:val="clear" w:color="auto" w:fill="A3CEED" w:themeFill="accent2" w:themeFillTint="66"/>
          </w:tcPr>
          <w:p w14:paraId="187A5E4B" w14:textId="7D9E869E" w:rsidR="00F114A3" w:rsidRPr="00F114A3" w:rsidRDefault="00F114A3" w:rsidP="007E4396">
            <w:pPr>
              <w:jc w:val="right"/>
            </w:pPr>
            <w:r>
              <w:t>PARIS</w:t>
            </w:r>
          </w:p>
        </w:tc>
        <w:tc>
          <w:tcPr>
            <w:tcW w:w="2925" w:type="dxa"/>
            <w:shd w:val="clear" w:color="auto" w:fill="A3CEED" w:themeFill="accent2" w:themeFillTint="66"/>
          </w:tcPr>
          <w:p w14:paraId="298010B1" w14:textId="6E65F03C" w:rsidR="00F114A3" w:rsidRDefault="00F114A3" w:rsidP="007E4396">
            <w:pPr>
              <w:jc w:val="right"/>
            </w:pPr>
            <w:r>
              <w:t>NEWCASTLE</w:t>
            </w:r>
          </w:p>
        </w:tc>
      </w:tr>
      <w:tr w:rsidR="00F114A3" w14:paraId="00356060" w14:textId="77777777" w:rsidTr="007E4396">
        <w:tc>
          <w:tcPr>
            <w:tcW w:w="3397" w:type="dxa"/>
            <w:shd w:val="clear" w:color="auto" w:fill="A3CEED" w:themeFill="accent2" w:themeFillTint="66"/>
          </w:tcPr>
          <w:p w14:paraId="600FACED" w14:textId="3D2DBD9C" w:rsidR="00F114A3" w:rsidRPr="007E4396" w:rsidRDefault="00F114A3" w:rsidP="007E4396">
            <w:pPr>
              <w:jc w:val="right"/>
              <w:rPr>
                <w:b/>
                <w:bCs/>
              </w:rPr>
            </w:pPr>
            <w:r w:rsidRPr="007E4396">
              <w:rPr>
                <w:b/>
                <w:bCs/>
              </w:rPr>
              <w:t>NET PRESENT VALUE (NPV)</w:t>
            </w:r>
          </w:p>
        </w:tc>
        <w:tc>
          <w:tcPr>
            <w:tcW w:w="2694" w:type="dxa"/>
          </w:tcPr>
          <w:p w14:paraId="5469FCE4" w14:textId="491739C2" w:rsidR="00F114A3" w:rsidRDefault="00F114A3" w:rsidP="007E4396">
            <w:pPr>
              <w:jc w:val="right"/>
            </w:pPr>
            <w:r>
              <w:t>£171.7 million</w:t>
            </w:r>
          </w:p>
        </w:tc>
        <w:tc>
          <w:tcPr>
            <w:tcW w:w="2925" w:type="dxa"/>
          </w:tcPr>
          <w:p w14:paraId="0117917F" w14:textId="071C1C0A" w:rsidR="00F114A3" w:rsidRDefault="00F114A3" w:rsidP="007E4396">
            <w:pPr>
              <w:jc w:val="right"/>
            </w:pPr>
            <w:r>
              <w:t>£186.6 million</w:t>
            </w:r>
          </w:p>
        </w:tc>
      </w:tr>
      <w:tr w:rsidR="00F114A3" w14:paraId="263E083A" w14:textId="77777777" w:rsidTr="007E4396">
        <w:tc>
          <w:tcPr>
            <w:tcW w:w="3397" w:type="dxa"/>
            <w:shd w:val="clear" w:color="auto" w:fill="A3CEED" w:themeFill="accent2" w:themeFillTint="66"/>
          </w:tcPr>
          <w:p w14:paraId="1ABEEEF0" w14:textId="387D0B8F" w:rsidR="00F114A3" w:rsidRPr="007E4396" w:rsidRDefault="00F114A3" w:rsidP="007E4396">
            <w:pPr>
              <w:jc w:val="right"/>
              <w:rPr>
                <w:b/>
                <w:bCs/>
              </w:rPr>
            </w:pPr>
            <w:r w:rsidRPr="007E4396">
              <w:rPr>
                <w:b/>
                <w:bCs/>
              </w:rPr>
              <w:t>INTERNAL RATE OF RETURN (IRR)</w:t>
            </w:r>
          </w:p>
        </w:tc>
        <w:tc>
          <w:tcPr>
            <w:tcW w:w="2694" w:type="dxa"/>
            <w:shd w:val="clear" w:color="auto" w:fill="D0E6F6" w:themeFill="accent2" w:themeFillTint="33"/>
          </w:tcPr>
          <w:p w14:paraId="29E124AC" w14:textId="4B064186" w:rsidR="00F114A3" w:rsidRDefault="00F114A3" w:rsidP="007E4396">
            <w:pPr>
              <w:jc w:val="right"/>
            </w:pPr>
            <w:r>
              <w:t>15.2%</w:t>
            </w:r>
          </w:p>
        </w:tc>
        <w:tc>
          <w:tcPr>
            <w:tcW w:w="2925" w:type="dxa"/>
            <w:shd w:val="clear" w:color="auto" w:fill="D0E6F6" w:themeFill="accent2" w:themeFillTint="33"/>
          </w:tcPr>
          <w:p w14:paraId="3D48A065" w14:textId="48725316" w:rsidR="00F114A3" w:rsidRDefault="00F114A3" w:rsidP="007E4396">
            <w:pPr>
              <w:jc w:val="right"/>
            </w:pPr>
            <w:r>
              <w:t>16.7%</w:t>
            </w:r>
          </w:p>
        </w:tc>
      </w:tr>
      <w:tr w:rsidR="00F114A3" w14:paraId="674054CE" w14:textId="77777777" w:rsidTr="007E4396">
        <w:tc>
          <w:tcPr>
            <w:tcW w:w="3397" w:type="dxa"/>
            <w:shd w:val="clear" w:color="auto" w:fill="A3CEED" w:themeFill="accent2" w:themeFillTint="66"/>
          </w:tcPr>
          <w:p w14:paraId="34CE6220" w14:textId="28544E3C" w:rsidR="00F114A3" w:rsidRPr="007E4396" w:rsidRDefault="00F114A3" w:rsidP="007E4396">
            <w:pPr>
              <w:jc w:val="right"/>
              <w:rPr>
                <w:b/>
                <w:bCs/>
              </w:rPr>
            </w:pPr>
            <w:r w:rsidRPr="007E4396">
              <w:rPr>
                <w:b/>
                <w:bCs/>
              </w:rPr>
              <w:lastRenderedPageBreak/>
              <w:t>PAYBACK PERIOD</w:t>
            </w:r>
          </w:p>
        </w:tc>
        <w:tc>
          <w:tcPr>
            <w:tcW w:w="2694" w:type="dxa"/>
          </w:tcPr>
          <w:p w14:paraId="6C974348" w14:textId="3E4DC7C3" w:rsidR="00F114A3" w:rsidRDefault="00F114A3" w:rsidP="007E4396">
            <w:pPr>
              <w:jc w:val="right"/>
            </w:pPr>
            <w:r>
              <w:t>6.8 years</w:t>
            </w:r>
          </w:p>
        </w:tc>
        <w:tc>
          <w:tcPr>
            <w:tcW w:w="2925" w:type="dxa"/>
          </w:tcPr>
          <w:p w14:paraId="01FD2350" w14:textId="67319A29" w:rsidR="00F114A3" w:rsidRDefault="00F114A3" w:rsidP="007E4396">
            <w:pPr>
              <w:jc w:val="right"/>
            </w:pPr>
            <w:r>
              <w:t>7 years</w:t>
            </w:r>
          </w:p>
        </w:tc>
      </w:tr>
    </w:tbl>
    <w:p w14:paraId="76B97C3D" w14:textId="2D4A6EE2" w:rsidR="00F114A3" w:rsidRDefault="00D30ED8" w:rsidP="006F1B2C">
      <w:pPr>
        <w:jc w:val="both"/>
      </w:pPr>
      <w:r>
        <w:t xml:space="preserve">As it can be seen, both plans are quite similar in reference to the table above. However, in terms of NPV and IRR, developing a casino in Newcastle would be more beneficial than if The Rank Group were to develop a casino in a new country. </w:t>
      </w:r>
      <w:r w:rsidR="00F850F8">
        <w:t xml:space="preserve">Unfortunately, it would take slightly longer for the Rank Group to pay off the investment, although seems to be worthwhile for the company. Therefore, deciding which plan to go through with, it would be advised to go with plan two and develop a casino where the business has already established previous successful casinos. </w:t>
      </w:r>
    </w:p>
    <w:p w14:paraId="2C75FE31" w14:textId="2F9EF34E" w:rsidR="00F850F8" w:rsidRDefault="00D51B11" w:rsidP="006F1B2C">
      <w:pPr>
        <w:jc w:val="both"/>
      </w:pPr>
      <w:r>
        <w:t>Originally, I had assumed the casino in Paris would be more profitable to The Rank Group because of the higher cash flows in the middle years. However, given plan 1 took longer to reach such a high figure, it makes sense plan two would be more effective for the company.</w:t>
      </w:r>
    </w:p>
    <w:p w14:paraId="7FE8C9C1" w14:textId="53E95E3D" w:rsidR="00D51B11" w:rsidRDefault="00D51B11" w:rsidP="006F1B2C">
      <w:pPr>
        <w:jc w:val="both"/>
      </w:pPr>
      <w:r>
        <w:t xml:space="preserve">While financially this seems the way to go, I cannot help but wonder how much population would affect this capital investment. Paris has a much higher population and is the reason plan one had a higher expected cash flow over time. In contrast, since there are plenty of casinos by The Rank Group in the United Kingdom, expected cash flow would not be as high as Paris since population and demand was not as high. </w:t>
      </w:r>
    </w:p>
    <w:p w14:paraId="3AD138AE" w14:textId="316F101A" w:rsidR="00E51B0F" w:rsidRDefault="00E51B0F" w:rsidP="00E51B0F">
      <w:pPr>
        <w:pStyle w:val="Title"/>
        <w:jc w:val="right"/>
        <w:rPr>
          <w:sz w:val="48"/>
          <w:szCs w:val="48"/>
        </w:rPr>
      </w:pPr>
      <w:r>
        <w:rPr>
          <w:sz w:val="48"/>
          <w:szCs w:val="48"/>
        </w:rPr>
        <w:t>STEP: 10</w:t>
      </w:r>
    </w:p>
    <w:p w14:paraId="0CC97271" w14:textId="77777777" w:rsidR="00E51B0F" w:rsidRPr="00E51B0F" w:rsidRDefault="00E51B0F" w:rsidP="00E51B0F"/>
    <w:p w14:paraId="2D665353" w14:textId="62DED93C" w:rsidR="00BE05F4" w:rsidRPr="00C91F95" w:rsidRDefault="00BE05F4" w:rsidP="006F1B2C">
      <w:pPr>
        <w:jc w:val="both"/>
      </w:pPr>
    </w:p>
    <w:sectPr w:rsidR="00BE05F4" w:rsidRPr="00C91F95" w:rsidSect="009B3522">
      <w:pgSz w:w="11906" w:h="16838"/>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522"/>
    <w:rsid w:val="00016599"/>
    <w:rsid w:val="00056F7E"/>
    <w:rsid w:val="00074D58"/>
    <w:rsid w:val="00164E03"/>
    <w:rsid w:val="00176C74"/>
    <w:rsid w:val="002239BD"/>
    <w:rsid w:val="002333CD"/>
    <w:rsid w:val="00283A30"/>
    <w:rsid w:val="00285EBF"/>
    <w:rsid w:val="00326D74"/>
    <w:rsid w:val="00345295"/>
    <w:rsid w:val="00370A32"/>
    <w:rsid w:val="003E50F1"/>
    <w:rsid w:val="003F7C82"/>
    <w:rsid w:val="004936B0"/>
    <w:rsid w:val="00582006"/>
    <w:rsid w:val="005E6339"/>
    <w:rsid w:val="006F1B2C"/>
    <w:rsid w:val="006F4B5A"/>
    <w:rsid w:val="007024BC"/>
    <w:rsid w:val="0070680F"/>
    <w:rsid w:val="007919CD"/>
    <w:rsid w:val="007C4F35"/>
    <w:rsid w:val="007D4190"/>
    <w:rsid w:val="007E4396"/>
    <w:rsid w:val="009102D3"/>
    <w:rsid w:val="00941DD3"/>
    <w:rsid w:val="009B3522"/>
    <w:rsid w:val="009F0C92"/>
    <w:rsid w:val="00A07BB7"/>
    <w:rsid w:val="00AD675C"/>
    <w:rsid w:val="00B12232"/>
    <w:rsid w:val="00B72E77"/>
    <w:rsid w:val="00BC6CEA"/>
    <w:rsid w:val="00BE05F4"/>
    <w:rsid w:val="00C15EFC"/>
    <w:rsid w:val="00C53EF2"/>
    <w:rsid w:val="00C91F95"/>
    <w:rsid w:val="00D30ED8"/>
    <w:rsid w:val="00D51B11"/>
    <w:rsid w:val="00D704E4"/>
    <w:rsid w:val="00DD68FA"/>
    <w:rsid w:val="00DE4BA4"/>
    <w:rsid w:val="00E31AFA"/>
    <w:rsid w:val="00E43DE3"/>
    <w:rsid w:val="00E51B0F"/>
    <w:rsid w:val="00E53FC0"/>
    <w:rsid w:val="00F114A3"/>
    <w:rsid w:val="00F17481"/>
    <w:rsid w:val="00F835AB"/>
    <w:rsid w:val="00F850F8"/>
    <w:rsid w:val="00F900A7"/>
    <w:rsid w:val="00FB19B9"/>
    <w:rsid w:val="00FC20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8CFE1"/>
  <w15:chartTrackingRefBased/>
  <w15:docId w15:val="{1935BD34-D89E-488F-BF08-556B665E8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3522"/>
    <w:pPr>
      <w:keepNext/>
      <w:keepLines/>
      <w:spacing w:before="240" w:after="0"/>
      <w:outlineLvl w:val="0"/>
    </w:pPr>
    <w:rPr>
      <w:rFonts w:asciiTheme="majorHAnsi" w:eastAsiaTheme="majorEastAsia" w:hAnsiTheme="majorHAnsi" w:cstheme="majorBidi"/>
      <w:color w:val="1481AB"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B35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B3522"/>
    <w:rPr>
      <w:rFonts w:eastAsiaTheme="minorEastAsia"/>
      <w:lang w:val="en-US"/>
    </w:rPr>
  </w:style>
  <w:style w:type="paragraph" w:styleId="Title">
    <w:name w:val="Title"/>
    <w:basedOn w:val="Normal"/>
    <w:next w:val="Normal"/>
    <w:link w:val="TitleChar"/>
    <w:uiPriority w:val="10"/>
    <w:qFormat/>
    <w:rsid w:val="009B352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352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B3522"/>
    <w:rPr>
      <w:rFonts w:asciiTheme="majorHAnsi" w:eastAsiaTheme="majorEastAsia" w:hAnsiTheme="majorHAnsi" w:cstheme="majorBidi"/>
      <w:color w:val="1481AB" w:themeColor="accent1" w:themeShade="BF"/>
      <w:sz w:val="32"/>
      <w:szCs w:val="32"/>
    </w:rPr>
  </w:style>
  <w:style w:type="paragraph" w:styleId="Subtitle">
    <w:name w:val="Subtitle"/>
    <w:basedOn w:val="Normal"/>
    <w:next w:val="Normal"/>
    <w:link w:val="SubtitleChar"/>
    <w:uiPriority w:val="11"/>
    <w:qFormat/>
    <w:rsid w:val="009B352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B3522"/>
    <w:rPr>
      <w:rFonts w:eastAsiaTheme="minorEastAsia"/>
      <w:color w:val="5A5A5A" w:themeColor="text1" w:themeTint="A5"/>
      <w:spacing w:val="15"/>
    </w:rPr>
  </w:style>
  <w:style w:type="character" w:styleId="Hyperlink">
    <w:name w:val="Hyperlink"/>
    <w:basedOn w:val="DefaultParagraphFont"/>
    <w:uiPriority w:val="99"/>
    <w:unhideWhenUsed/>
    <w:rsid w:val="00E53FC0"/>
    <w:rPr>
      <w:color w:val="6B9F25" w:themeColor="hyperlink"/>
      <w:u w:val="single"/>
    </w:rPr>
  </w:style>
  <w:style w:type="character" w:styleId="UnresolvedMention">
    <w:name w:val="Unresolved Mention"/>
    <w:basedOn w:val="DefaultParagraphFont"/>
    <w:uiPriority w:val="99"/>
    <w:semiHidden/>
    <w:unhideWhenUsed/>
    <w:rsid w:val="00E53FC0"/>
    <w:rPr>
      <w:color w:val="605E5C"/>
      <w:shd w:val="clear" w:color="auto" w:fill="E1DFDD"/>
    </w:rPr>
  </w:style>
  <w:style w:type="character" w:styleId="PlaceholderText">
    <w:name w:val="Placeholder Text"/>
    <w:basedOn w:val="DefaultParagraphFont"/>
    <w:uiPriority w:val="99"/>
    <w:semiHidden/>
    <w:rsid w:val="00A07BB7"/>
    <w:rPr>
      <w:color w:val="808080"/>
    </w:rPr>
  </w:style>
  <w:style w:type="table" w:styleId="TableGrid">
    <w:name w:val="Table Grid"/>
    <w:basedOn w:val="TableNormal"/>
    <w:uiPriority w:val="39"/>
    <w:rsid w:val="009F0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F0C9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meccabingo.com/bingo" TargetMode="External"/><Relationship Id="rId5" Type="http://schemas.openxmlformats.org/officeDocument/2006/relationships/hyperlink" Target="https://www.grosvenorcasinos.com/" TargetMode="Externa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595</TotalTime>
  <Pages>6</Pages>
  <Words>2284</Words>
  <Characters>13020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ACCT11059: Accounting, Learning and Online Communication</vt:lpstr>
    </vt:vector>
  </TitlesOfParts>
  <Company/>
  <LinksUpToDate>false</LinksUpToDate>
  <CharactersWithSpaces>15274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ACCT11059: Accounting, Learning and Online Communication</dc:title>
  <dc:subject>ASS #2, STEPS 7-10</dc:subject>
  <dc:creator>daniella romeo</dc:creator>
  <cp:keywords/>
  <dc:description/>
  <cp:lastModifiedBy>daniella romeo</cp:lastModifiedBy>
  <cp:revision>18</cp:revision>
  <dcterms:created xsi:type="dcterms:W3CDTF">2020-05-11T04:09:00Z</dcterms:created>
  <dcterms:modified xsi:type="dcterms:W3CDTF">2020-05-25T04:27:00Z</dcterms:modified>
</cp:coreProperties>
</file>